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val="0"/>
        <w:pageBreakBefore w:val="0"/>
        <w:widowControl w:val="0"/>
        <w:kinsoku/>
        <w:wordWrap/>
        <w:overflowPunct/>
        <w:topLinePunct w:val="0"/>
        <w:autoSpaceDE/>
        <w:autoSpaceDN/>
        <w:bidi w:val="0"/>
        <w:adjustRightInd/>
        <w:snapToGrid/>
        <w:spacing w:before="0" w:after="157" w:afterLines="50" w:line="360" w:lineRule="auto"/>
        <w:ind w:right="0"/>
        <w:jc w:val="center"/>
        <w:textAlignment w:val="auto"/>
        <w:rPr>
          <w:rFonts w:hint="default" w:ascii="宋体" w:hAnsi="宋体" w:eastAsia="宋体" w:cs="Tahoma"/>
          <w:color w:val="auto"/>
          <w:spacing w:val="20"/>
          <w:sz w:val="32"/>
          <w:szCs w:val="32"/>
          <w:highlight w:val="none"/>
          <w:lang w:val="en-US" w:eastAsia="zh-CN"/>
        </w:rPr>
      </w:pPr>
      <w:r>
        <w:rPr>
          <w:rFonts w:hint="eastAsia" w:ascii="宋体" w:hAnsi="宋体"/>
          <w:b/>
          <w:bCs/>
          <w:color w:val="auto"/>
          <w:sz w:val="32"/>
          <w:szCs w:val="32"/>
          <w:highlight w:val="none"/>
        </w:rPr>
        <w:t>广州恒运城市服务有限公司劳务服务项目</w:t>
      </w:r>
      <w:r>
        <w:rPr>
          <w:rFonts w:hint="eastAsia" w:ascii="宋体" w:hAnsi="宋体" w:cs="Tahoma"/>
          <w:color w:val="auto"/>
          <w:spacing w:val="20"/>
          <w:sz w:val="32"/>
          <w:szCs w:val="32"/>
          <w:highlight w:val="none"/>
          <w:lang w:val="en-US" w:eastAsia="zh-CN"/>
        </w:rPr>
        <w:t>招标公告</w:t>
      </w:r>
    </w:p>
    <w:p>
      <w:pPr>
        <w:pStyle w:val="5"/>
        <w:snapToGrid w:val="0"/>
        <w:spacing w:line="360" w:lineRule="auto"/>
        <w:ind w:firstLine="420" w:firstLineChars="200"/>
        <w:rPr>
          <w:rFonts w:cs="Tahoma"/>
          <w:color w:val="auto"/>
          <w:sz w:val="21"/>
          <w:szCs w:val="21"/>
          <w:highlight w:val="none"/>
        </w:rPr>
      </w:pPr>
      <w:r>
        <w:rPr>
          <w:rFonts w:hint="eastAsia" w:cs="Arial"/>
          <w:color w:val="auto"/>
          <w:sz w:val="21"/>
          <w:szCs w:val="21"/>
          <w:highlight w:val="none"/>
        </w:rPr>
        <w:t>华联世纪工程咨询股份有限公司</w:t>
      </w:r>
      <w:r>
        <w:rPr>
          <w:rFonts w:cs="Tahoma"/>
          <w:color w:val="auto"/>
          <w:sz w:val="21"/>
          <w:szCs w:val="21"/>
          <w:highlight w:val="none"/>
        </w:rPr>
        <w:t>（以下简称</w:t>
      </w:r>
      <w:r>
        <w:rPr>
          <w:rFonts w:hint="eastAsia" w:cs="Tahoma"/>
          <w:color w:val="auto"/>
          <w:sz w:val="21"/>
          <w:szCs w:val="21"/>
          <w:highlight w:val="none"/>
        </w:rPr>
        <w:t>“招标代理机构”</w:t>
      </w:r>
      <w:r>
        <w:rPr>
          <w:rFonts w:cs="Tahoma"/>
          <w:color w:val="auto"/>
          <w:sz w:val="21"/>
          <w:szCs w:val="21"/>
          <w:highlight w:val="none"/>
        </w:rPr>
        <w:t>）受</w:t>
      </w:r>
      <w:r>
        <w:rPr>
          <w:rFonts w:hint="eastAsia" w:cs="Tahoma"/>
          <w:color w:val="auto"/>
          <w:sz w:val="21"/>
          <w:szCs w:val="21"/>
          <w:highlight w:val="none"/>
        </w:rPr>
        <w:t>招标人</w:t>
      </w:r>
      <w:r>
        <w:rPr>
          <w:rFonts w:cs="Tahoma"/>
          <w:color w:val="auto"/>
          <w:sz w:val="21"/>
          <w:szCs w:val="21"/>
          <w:highlight w:val="none"/>
        </w:rPr>
        <w:t>的委托，</w:t>
      </w:r>
      <w:r>
        <w:rPr>
          <w:rFonts w:cs="Tahoma"/>
          <w:color w:val="auto"/>
          <w:kern w:val="28"/>
          <w:sz w:val="21"/>
          <w:szCs w:val="21"/>
          <w:highlight w:val="none"/>
        </w:rPr>
        <w:t>就</w:t>
      </w:r>
      <w:r>
        <w:rPr>
          <w:rFonts w:hint="eastAsia" w:cs="Tahoma"/>
          <w:color w:val="auto"/>
          <w:sz w:val="21"/>
          <w:szCs w:val="21"/>
          <w:highlight w:val="none"/>
        </w:rPr>
        <w:t>以下招标项目</w:t>
      </w:r>
      <w:r>
        <w:rPr>
          <w:rFonts w:cs="Arial"/>
          <w:color w:val="auto"/>
          <w:sz w:val="21"/>
          <w:szCs w:val="21"/>
          <w:highlight w:val="none"/>
        </w:rPr>
        <w:t>进行</w:t>
      </w:r>
      <w:r>
        <w:rPr>
          <w:rFonts w:hint="eastAsia" w:cs="Arial"/>
          <w:color w:val="auto"/>
          <w:sz w:val="21"/>
          <w:szCs w:val="21"/>
          <w:highlight w:val="none"/>
        </w:rPr>
        <w:t>国内公开</w:t>
      </w:r>
      <w:r>
        <w:rPr>
          <w:rFonts w:hint="eastAsia" w:cs="Arial"/>
          <w:bCs/>
          <w:color w:val="auto"/>
          <w:sz w:val="21"/>
          <w:szCs w:val="21"/>
          <w:highlight w:val="none"/>
        </w:rPr>
        <w:t>招标</w:t>
      </w:r>
      <w:r>
        <w:rPr>
          <w:rFonts w:hint="eastAsia" w:cs="Arial"/>
          <w:color w:val="auto"/>
          <w:sz w:val="21"/>
          <w:szCs w:val="21"/>
          <w:highlight w:val="none"/>
        </w:rPr>
        <w:t>，</w:t>
      </w:r>
      <w:r>
        <w:rPr>
          <w:rFonts w:hint="eastAsia"/>
          <w:color w:val="auto"/>
          <w:sz w:val="21"/>
          <w:szCs w:val="21"/>
          <w:highlight w:val="none"/>
        </w:rPr>
        <w:t>欢迎合格的投标人参加投标</w:t>
      </w:r>
      <w:r>
        <w:rPr>
          <w:color w:val="auto"/>
          <w:sz w:val="21"/>
          <w:szCs w:val="21"/>
          <w:highlight w:val="none"/>
        </w:rPr>
        <w:t>。</w:t>
      </w:r>
      <w:r>
        <w:rPr>
          <w:rFonts w:cs="Tahoma"/>
          <w:color w:val="auto"/>
          <w:sz w:val="21"/>
          <w:szCs w:val="21"/>
          <w:highlight w:val="none"/>
        </w:rPr>
        <w:t>有关事项</w:t>
      </w:r>
      <w:r>
        <w:rPr>
          <w:rFonts w:hint="eastAsia" w:cs="Tahoma"/>
          <w:color w:val="auto"/>
          <w:sz w:val="21"/>
          <w:szCs w:val="21"/>
          <w:highlight w:val="none"/>
        </w:rPr>
        <w:t>公告</w:t>
      </w:r>
      <w:r>
        <w:rPr>
          <w:rFonts w:cs="Tahoma"/>
          <w:color w:val="auto"/>
          <w:sz w:val="21"/>
          <w:szCs w:val="21"/>
          <w:highlight w:val="none"/>
        </w:rPr>
        <w:t>如下：</w:t>
      </w:r>
    </w:p>
    <w:p>
      <w:pPr>
        <w:pStyle w:val="5"/>
        <w:snapToGrid w:val="0"/>
        <w:spacing w:line="360" w:lineRule="auto"/>
        <w:ind w:firstLine="0"/>
        <w:rPr>
          <w:rFonts w:cs="Tahoma"/>
          <w:color w:val="auto"/>
          <w:sz w:val="21"/>
          <w:szCs w:val="21"/>
          <w:highlight w:val="none"/>
        </w:rPr>
      </w:pPr>
      <w:r>
        <w:rPr>
          <w:rFonts w:hint="eastAsia" w:cs="Tahoma"/>
          <w:color w:val="auto"/>
          <w:sz w:val="21"/>
          <w:szCs w:val="21"/>
          <w:highlight w:val="none"/>
        </w:rPr>
        <w:t>一、项目简要说明</w:t>
      </w:r>
    </w:p>
    <w:p>
      <w:pPr>
        <w:spacing w:line="360" w:lineRule="auto"/>
        <w:ind w:firstLine="420" w:firstLineChars="200"/>
        <w:rPr>
          <w:rFonts w:hint="eastAsia" w:ascii="宋体" w:hAnsi="宋体" w:cs="Tahoma"/>
          <w:color w:val="auto"/>
          <w:szCs w:val="21"/>
          <w:highlight w:val="none"/>
        </w:rPr>
      </w:pPr>
      <w:r>
        <w:rPr>
          <w:rFonts w:hint="eastAsia" w:ascii="宋体" w:hAnsi="宋体" w:cs="Tahoma"/>
          <w:color w:val="auto"/>
          <w:szCs w:val="21"/>
          <w:highlight w:val="none"/>
        </w:rPr>
        <w:t>1、</w:t>
      </w:r>
      <w:r>
        <w:rPr>
          <w:rFonts w:ascii="宋体" w:hAnsi="宋体" w:cs="Tahoma"/>
          <w:color w:val="auto"/>
          <w:szCs w:val="21"/>
          <w:highlight w:val="none"/>
        </w:rPr>
        <w:t>项目编号：</w:t>
      </w:r>
      <w:r>
        <w:rPr>
          <w:rFonts w:hint="eastAsia" w:ascii="宋体" w:hAnsi="宋体" w:cs="Tahoma"/>
          <w:color w:val="auto"/>
          <w:szCs w:val="21"/>
          <w:highlight w:val="none"/>
        </w:rPr>
        <w:t>HLSJCG-20231108</w:t>
      </w:r>
    </w:p>
    <w:p>
      <w:pPr>
        <w:spacing w:line="360" w:lineRule="auto"/>
        <w:ind w:firstLine="420" w:firstLineChars="200"/>
        <w:rPr>
          <w:rFonts w:hint="eastAsia" w:ascii="宋体" w:hAnsi="宋体" w:cs="Tahoma"/>
          <w:color w:val="auto"/>
          <w:szCs w:val="21"/>
          <w:highlight w:val="none"/>
        </w:rPr>
      </w:pPr>
      <w:r>
        <w:rPr>
          <w:rFonts w:hint="eastAsia" w:ascii="宋体" w:hAnsi="宋体" w:cs="Tahoma"/>
          <w:color w:val="auto"/>
          <w:szCs w:val="21"/>
          <w:highlight w:val="none"/>
        </w:rPr>
        <w:t>2、项目名称</w:t>
      </w:r>
      <w:r>
        <w:rPr>
          <w:rFonts w:hint="eastAsia" w:ascii="宋体" w:hAnsi="宋体" w:cs="Tahoma"/>
          <w:color w:val="auto"/>
          <w:kern w:val="28"/>
          <w:szCs w:val="21"/>
          <w:highlight w:val="none"/>
        </w:rPr>
        <w:t>：广州恒运城市服务有限公司劳务服务项目</w:t>
      </w:r>
    </w:p>
    <w:p>
      <w:pPr>
        <w:spacing w:line="360" w:lineRule="auto"/>
        <w:ind w:firstLine="420" w:firstLineChars="200"/>
        <w:rPr>
          <w:rFonts w:ascii="宋体" w:hAnsi="宋体" w:cs="Tahoma"/>
          <w:color w:val="auto"/>
          <w:szCs w:val="21"/>
          <w:highlight w:val="none"/>
        </w:rPr>
      </w:pPr>
      <w:r>
        <w:rPr>
          <w:rFonts w:hint="eastAsia" w:ascii="宋体" w:hAnsi="宋体" w:cs="Tahoma"/>
          <w:color w:val="auto"/>
          <w:szCs w:val="21"/>
          <w:highlight w:val="none"/>
        </w:rPr>
        <w:t>3、项目类别：服务类</w:t>
      </w:r>
      <w:bookmarkStart w:id="0" w:name="_GoBack"/>
      <w:bookmarkEnd w:id="0"/>
    </w:p>
    <w:p>
      <w:pPr>
        <w:spacing w:line="360" w:lineRule="auto"/>
        <w:ind w:firstLine="420" w:firstLineChars="200"/>
        <w:rPr>
          <w:rFonts w:hint="eastAsia" w:ascii="宋体" w:hAnsi="宋体" w:cs="Tahoma"/>
          <w:color w:val="auto"/>
          <w:szCs w:val="21"/>
          <w:highlight w:val="none"/>
        </w:rPr>
      </w:pPr>
      <w:r>
        <w:rPr>
          <w:rFonts w:hint="eastAsia" w:ascii="宋体" w:hAnsi="宋体" w:cs="Tahoma"/>
          <w:color w:val="auto"/>
          <w:szCs w:val="21"/>
          <w:highlight w:val="none"/>
        </w:rPr>
        <w:t>4、招标人：广州恒运城市服务有限公司</w:t>
      </w:r>
    </w:p>
    <w:p>
      <w:pPr>
        <w:spacing w:line="360" w:lineRule="auto"/>
        <w:ind w:firstLine="420" w:firstLineChars="200"/>
        <w:rPr>
          <w:rFonts w:hint="eastAsia" w:ascii="宋体" w:hAnsi="宋体"/>
          <w:color w:val="auto"/>
          <w:szCs w:val="21"/>
          <w:highlight w:val="none"/>
        </w:rPr>
      </w:pPr>
      <w:r>
        <w:rPr>
          <w:rFonts w:hint="eastAsia" w:ascii="宋体" w:hAnsi="宋体" w:cs="Tahoma"/>
          <w:color w:val="auto"/>
          <w:szCs w:val="21"/>
          <w:highlight w:val="none"/>
        </w:rPr>
        <w:t>5、项目</w:t>
      </w:r>
      <w:r>
        <w:rPr>
          <w:rFonts w:hint="eastAsia" w:ascii="宋体" w:hAnsi="宋体"/>
          <w:color w:val="auto"/>
          <w:szCs w:val="21"/>
          <w:highlight w:val="none"/>
        </w:rPr>
        <w:t>内容、数量、最高限价及</w:t>
      </w:r>
      <w:r>
        <w:rPr>
          <w:rFonts w:hint="eastAsia" w:ascii="宋体" w:hAnsi="宋体" w:cs="Arial"/>
          <w:color w:val="auto"/>
          <w:szCs w:val="21"/>
          <w:highlight w:val="none"/>
        </w:rPr>
        <w:t>服务时间</w:t>
      </w:r>
      <w:r>
        <w:rPr>
          <w:rFonts w:hint="eastAsia" w:ascii="宋体" w:hAnsi="宋体"/>
          <w:color w:val="auto"/>
          <w:szCs w:val="21"/>
          <w:highlight w:val="none"/>
        </w:rPr>
        <w:t>：</w:t>
      </w:r>
    </w:p>
    <w:tbl>
      <w:tblPr>
        <w:tblStyle w:val="6"/>
        <w:tblW w:w="9135" w:type="dxa"/>
        <w:jc w:val="center"/>
        <w:tblBorders>
          <w:top w:val="thinThickSmallGap" w:color="auto" w:sz="24" w:space="0"/>
          <w:left w:val="thinThickSmallGap" w:color="auto" w:sz="24" w:space="0"/>
          <w:bottom w:val="thinThickSmallGap" w:color="auto" w:sz="24" w:space="0"/>
          <w:right w:val="thinThickSmallGap" w:color="auto" w:sz="24" w:space="0"/>
          <w:insideH w:val="single" w:color="auto" w:sz="4" w:space="0"/>
          <w:insideV w:val="single" w:color="auto" w:sz="4" w:space="0"/>
        </w:tblBorders>
        <w:tblLayout w:type="fixed"/>
        <w:tblCellMar>
          <w:top w:w="0" w:type="dxa"/>
          <w:left w:w="108" w:type="dxa"/>
          <w:bottom w:w="0" w:type="dxa"/>
          <w:right w:w="108" w:type="dxa"/>
        </w:tblCellMar>
      </w:tblPr>
      <w:tblGrid>
        <w:gridCol w:w="2215"/>
        <w:gridCol w:w="996"/>
        <w:gridCol w:w="2225"/>
        <w:gridCol w:w="2144"/>
        <w:gridCol w:w="1555"/>
      </w:tblGrid>
      <w:tr>
        <w:tblPrEx>
          <w:tblBorders>
            <w:top w:val="thinThickSmallGap" w:color="auto" w:sz="24" w:space="0"/>
            <w:left w:val="thinThickSmallGap" w:color="auto" w:sz="24" w:space="0"/>
            <w:bottom w:val="thinThickSmallGap" w:color="auto" w:sz="24" w:space="0"/>
            <w:right w:val="thinThickSmallGap" w:color="auto" w:sz="2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215" w:type="dxa"/>
            <w:tcBorders>
              <w:top w:val="thinThickSmallGap" w:color="auto" w:sz="24" w:space="0"/>
              <w:left w:val="thinThickSmallGap" w:color="auto" w:sz="24" w:space="0"/>
              <w:bottom w:val="single" w:color="auto" w:sz="4" w:space="0"/>
              <w:right w:val="single" w:color="auto" w:sz="4" w:space="0"/>
            </w:tcBorders>
            <w:noWrap w:val="0"/>
            <w:vAlign w:val="center"/>
          </w:tcPr>
          <w:p>
            <w:pPr>
              <w:jc w:val="center"/>
              <w:rPr>
                <w:rFonts w:hint="eastAsia" w:ascii="宋体" w:hAnsi="宋体" w:cs="宋体"/>
                <w:b/>
                <w:color w:val="auto"/>
                <w:szCs w:val="21"/>
                <w:highlight w:val="none"/>
              </w:rPr>
            </w:pPr>
            <w:r>
              <w:rPr>
                <w:rFonts w:hint="eastAsia" w:ascii="宋体" w:hAnsi="宋体" w:cs="宋体"/>
                <w:b/>
                <w:color w:val="auto"/>
                <w:szCs w:val="21"/>
                <w:highlight w:val="none"/>
              </w:rPr>
              <w:t>服务内容</w:t>
            </w:r>
          </w:p>
        </w:tc>
        <w:tc>
          <w:tcPr>
            <w:tcW w:w="996" w:type="dxa"/>
            <w:tcBorders>
              <w:top w:val="thinThickSmallGap" w:color="auto" w:sz="24" w:space="0"/>
              <w:left w:val="single" w:color="auto" w:sz="4" w:space="0"/>
              <w:bottom w:val="single" w:color="auto" w:sz="4" w:space="0"/>
              <w:right w:val="single" w:color="auto" w:sz="4" w:space="0"/>
            </w:tcBorders>
            <w:noWrap w:val="0"/>
            <w:vAlign w:val="center"/>
          </w:tcPr>
          <w:p>
            <w:pPr>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2225" w:type="dxa"/>
            <w:tcBorders>
              <w:top w:val="thinThickSmallGap" w:color="auto" w:sz="24" w:space="0"/>
              <w:left w:val="single" w:color="auto" w:sz="4" w:space="0"/>
              <w:bottom w:val="single" w:color="auto" w:sz="4" w:space="0"/>
              <w:right w:val="single" w:color="auto" w:sz="4" w:space="0"/>
            </w:tcBorders>
            <w:noWrap w:val="0"/>
            <w:vAlign w:val="center"/>
          </w:tcPr>
          <w:p>
            <w:pPr>
              <w:jc w:val="center"/>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预算金额</w:t>
            </w:r>
          </w:p>
          <w:p>
            <w:pPr>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w:t>
            </w:r>
            <w:r>
              <w:rPr>
                <w:rFonts w:hint="eastAsia" w:ascii="宋体" w:hAnsi="宋体" w:cs="宋体"/>
                <w:b/>
                <w:color w:val="auto"/>
                <w:szCs w:val="21"/>
                <w:highlight w:val="none"/>
              </w:rPr>
              <w:t>最高限价</w:t>
            </w:r>
            <w:r>
              <w:rPr>
                <w:rFonts w:hint="eastAsia" w:ascii="宋体" w:hAnsi="宋体" w:cs="宋体"/>
                <w:b/>
                <w:color w:val="auto"/>
                <w:szCs w:val="21"/>
                <w:highlight w:val="none"/>
                <w:lang w:eastAsia="zh-CN"/>
              </w:rPr>
              <w:t>）</w:t>
            </w:r>
          </w:p>
        </w:tc>
        <w:tc>
          <w:tcPr>
            <w:tcW w:w="2144" w:type="dxa"/>
            <w:tcBorders>
              <w:top w:val="thinThickSmallGap" w:color="auto" w:sz="24" w:space="0"/>
              <w:left w:val="single" w:color="auto" w:sz="4" w:space="0"/>
              <w:bottom w:val="single" w:color="auto" w:sz="4" w:space="0"/>
              <w:right w:val="single" w:color="auto" w:sz="4" w:space="0"/>
            </w:tcBorders>
            <w:noWrap w:val="0"/>
            <w:vAlign w:val="center"/>
          </w:tcPr>
          <w:p>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合同履行期限</w:t>
            </w:r>
          </w:p>
          <w:p>
            <w:pPr>
              <w:jc w:val="center"/>
              <w:rPr>
                <w:rFonts w:hint="eastAsia" w:ascii="宋体" w:hAnsi="宋体" w:cs="宋体"/>
                <w:b/>
                <w:color w:val="auto"/>
                <w:szCs w:val="21"/>
                <w:highlight w:val="none"/>
              </w:rPr>
            </w:pPr>
            <w:r>
              <w:rPr>
                <w:rFonts w:hint="eastAsia" w:ascii="宋体" w:hAnsi="宋体" w:cs="宋体"/>
                <w:b/>
                <w:bCs/>
                <w:color w:val="auto"/>
                <w:szCs w:val="21"/>
                <w:highlight w:val="none"/>
              </w:rPr>
              <w:t>（服务时间）</w:t>
            </w:r>
          </w:p>
        </w:tc>
        <w:tc>
          <w:tcPr>
            <w:tcW w:w="1555" w:type="dxa"/>
            <w:tcBorders>
              <w:top w:val="thinThickSmallGap" w:color="auto" w:sz="24" w:space="0"/>
              <w:left w:val="single" w:color="auto" w:sz="4" w:space="0"/>
              <w:bottom w:val="single" w:color="auto" w:sz="4" w:space="0"/>
              <w:right w:val="thinThickSmallGap" w:color="auto" w:sz="24" w:space="0"/>
            </w:tcBorders>
            <w:noWrap w:val="0"/>
            <w:vAlign w:val="center"/>
          </w:tcPr>
          <w:p>
            <w:pPr>
              <w:jc w:val="center"/>
              <w:rPr>
                <w:rFonts w:hint="eastAsia" w:ascii="宋体" w:hAnsi="宋体" w:cs="宋体"/>
                <w:b/>
                <w:color w:val="auto"/>
                <w:szCs w:val="21"/>
                <w:highlight w:val="none"/>
              </w:rPr>
            </w:pPr>
            <w:r>
              <w:rPr>
                <w:rFonts w:hint="eastAsia" w:ascii="宋体" w:hAnsi="宋体" w:cs="宋体"/>
                <w:b/>
                <w:color w:val="auto"/>
                <w:szCs w:val="21"/>
                <w:highlight w:val="none"/>
              </w:rPr>
              <w:t>备注</w:t>
            </w:r>
          </w:p>
        </w:tc>
      </w:tr>
      <w:tr>
        <w:tblPrEx>
          <w:tblBorders>
            <w:top w:val="thinThickSmallGap" w:color="auto" w:sz="24" w:space="0"/>
            <w:left w:val="thinThickSmallGap" w:color="auto" w:sz="24" w:space="0"/>
            <w:bottom w:val="thinThickSmallGap" w:color="auto" w:sz="24" w:space="0"/>
            <w:right w:val="thinThickSmallGap" w:color="auto" w:sz="2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2215" w:type="dxa"/>
            <w:tcBorders>
              <w:top w:val="single" w:color="auto" w:sz="4" w:space="0"/>
              <w:left w:val="thinThickSmallGap" w:color="auto" w:sz="24" w:space="0"/>
              <w:bottom w:val="thinThickSmallGap" w:color="auto" w:sz="24" w:space="0"/>
              <w:right w:val="single" w:color="auto" w:sz="4" w:space="0"/>
            </w:tcBorders>
            <w:noWrap w:val="0"/>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劳务服务项目</w:t>
            </w:r>
          </w:p>
        </w:tc>
        <w:tc>
          <w:tcPr>
            <w:tcW w:w="996" w:type="dxa"/>
            <w:tcBorders>
              <w:top w:val="single" w:color="auto" w:sz="4" w:space="0"/>
              <w:left w:val="single" w:color="auto" w:sz="4" w:space="0"/>
              <w:bottom w:val="thinThickSmallGap" w:color="auto" w:sz="24" w:space="0"/>
              <w:right w:val="single" w:color="auto" w:sz="4" w:space="0"/>
            </w:tcBorders>
            <w:noWrap w:val="0"/>
            <w:vAlign w:val="center"/>
          </w:tcPr>
          <w:p>
            <w:pPr>
              <w:autoSpaceDE w:val="0"/>
              <w:autoSpaceDN w:val="0"/>
              <w:adjustRightInd w:val="0"/>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2225" w:type="dxa"/>
            <w:tcBorders>
              <w:top w:val="single" w:color="auto" w:sz="4" w:space="0"/>
              <w:left w:val="single" w:color="auto" w:sz="4" w:space="0"/>
              <w:bottom w:val="thinThickSmallGap" w:color="auto" w:sz="24" w:space="0"/>
              <w:right w:val="single" w:color="auto" w:sz="4" w:space="0"/>
            </w:tcBorders>
            <w:noWrap w:val="0"/>
            <w:vAlign w:val="center"/>
          </w:tcPr>
          <w:p>
            <w:pPr>
              <w:autoSpaceDE w:val="0"/>
              <w:autoSpaceDN w:val="0"/>
              <w:adjustRightInd w:val="0"/>
              <w:spacing w:line="276"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人民币350万元</w:t>
            </w:r>
            <w:r>
              <w:rPr>
                <w:rFonts w:hint="eastAsia" w:ascii="宋体" w:hAnsi="宋体" w:cs="宋体"/>
                <w:color w:val="auto"/>
                <w:szCs w:val="21"/>
                <w:highlight w:val="none"/>
                <w:lang w:val="en-US" w:eastAsia="zh-CN"/>
              </w:rPr>
              <w:t>/年</w:t>
            </w:r>
          </w:p>
          <w:p>
            <w:pPr>
              <w:pStyle w:val="2"/>
              <w:spacing w:line="276" w:lineRule="auto"/>
              <w:ind w:left="0" w:leftChars="0" w:right="40" w:rightChars="19" w:firstLine="0" w:firstLineChars="0"/>
              <w:jc w:val="center"/>
              <w:rPr>
                <w:rFonts w:hint="eastAsia"/>
                <w:color w:val="auto"/>
                <w:highlight w:val="none"/>
                <w:lang w:val="en-US" w:eastAsia="zh-CN"/>
              </w:rPr>
            </w:pPr>
            <w:r>
              <w:rPr>
                <w:rFonts w:hint="eastAsia" w:ascii="宋体" w:hAnsi="宋体" w:eastAsia="宋体" w:cs="宋体"/>
                <w:color w:val="auto"/>
                <w:szCs w:val="21"/>
                <w:highlight w:val="none"/>
              </w:rPr>
              <w:t>人民币</w:t>
            </w: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0万元</w:t>
            </w:r>
            <w:r>
              <w:rPr>
                <w:rFonts w:hint="eastAsia" w:ascii="宋体" w:hAnsi="宋体" w:eastAsia="宋体" w:cs="宋体"/>
                <w:color w:val="auto"/>
                <w:szCs w:val="21"/>
                <w:highlight w:val="none"/>
                <w:lang w:val="en-US" w:eastAsia="zh-CN"/>
              </w:rPr>
              <w:t>/两年</w:t>
            </w:r>
          </w:p>
        </w:tc>
        <w:tc>
          <w:tcPr>
            <w:tcW w:w="2144" w:type="dxa"/>
            <w:tcBorders>
              <w:top w:val="single" w:color="auto" w:sz="4" w:space="0"/>
              <w:left w:val="single" w:color="auto" w:sz="4" w:space="0"/>
              <w:bottom w:val="thinThickSmallGap" w:color="auto" w:sz="24" w:space="0"/>
              <w:right w:val="single" w:color="auto" w:sz="4" w:space="0"/>
            </w:tcBorders>
            <w:noWrap w:val="0"/>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olor w:val="auto"/>
                <w:szCs w:val="21"/>
                <w:highlight w:val="none"/>
              </w:rPr>
              <w:t>1+1年</w:t>
            </w:r>
          </w:p>
        </w:tc>
        <w:tc>
          <w:tcPr>
            <w:tcW w:w="1555" w:type="dxa"/>
            <w:tcBorders>
              <w:top w:val="single" w:color="auto" w:sz="4" w:space="0"/>
              <w:left w:val="single" w:color="auto" w:sz="4" w:space="0"/>
              <w:bottom w:val="thinThickSmallGap" w:color="auto" w:sz="24" w:space="0"/>
              <w:right w:val="thinThickSmallGap" w:color="auto" w:sz="24" w:space="0"/>
            </w:tcBorders>
            <w:noWrap w:val="0"/>
            <w:vAlign w:val="center"/>
          </w:tcPr>
          <w:p>
            <w:pPr>
              <w:rPr>
                <w:rFonts w:ascii="宋体" w:hAnsi="宋体" w:cs="宋体"/>
                <w:color w:val="auto"/>
                <w:szCs w:val="21"/>
                <w:highlight w:val="none"/>
              </w:rPr>
            </w:pPr>
          </w:p>
        </w:tc>
      </w:tr>
    </w:tbl>
    <w:p>
      <w:pPr>
        <w:numPr>
          <w:ilvl w:val="0"/>
          <w:numId w:val="1"/>
        </w:numPr>
        <w:spacing w:before="120" w:beforeLines="50" w:line="360" w:lineRule="auto"/>
        <w:ind w:firstLine="420" w:firstLineChars="200"/>
        <w:rPr>
          <w:rFonts w:hint="eastAsia"/>
          <w:color w:val="auto"/>
          <w:highlight w:val="none"/>
        </w:rPr>
      </w:pPr>
      <w:r>
        <w:rPr>
          <w:rFonts w:hint="eastAsia" w:ascii="宋体" w:hAnsi="宋体"/>
          <w:color w:val="auto"/>
          <w:szCs w:val="21"/>
          <w:highlight w:val="none"/>
        </w:rPr>
        <w:t>简要要求或招标项目的性质：</w:t>
      </w:r>
      <w:r>
        <w:rPr>
          <w:rFonts w:ascii="宋体" w:hAnsi="宋体"/>
          <w:color w:val="auto"/>
          <w:szCs w:val="21"/>
          <w:highlight w:val="none"/>
        </w:rPr>
        <w:t>所投</w:t>
      </w:r>
      <w:r>
        <w:rPr>
          <w:rFonts w:hint="eastAsia" w:ascii="宋体" w:hAnsi="宋体"/>
          <w:color w:val="auto"/>
          <w:szCs w:val="21"/>
          <w:highlight w:val="none"/>
        </w:rPr>
        <w:t>服务</w:t>
      </w:r>
      <w:r>
        <w:rPr>
          <w:rFonts w:ascii="宋体" w:hAnsi="宋体"/>
          <w:color w:val="auto"/>
          <w:szCs w:val="21"/>
          <w:highlight w:val="none"/>
        </w:rPr>
        <w:t>须符合国家</w:t>
      </w:r>
      <w:r>
        <w:rPr>
          <w:rFonts w:hint="eastAsia" w:ascii="宋体" w:hAnsi="宋体"/>
          <w:color w:val="auto"/>
          <w:szCs w:val="21"/>
          <w:highlight w:val="none"/>
        </w:rPr>
        <w:t>及行业</w:t>
      </w:r>
      <w:r>
        <w:rPr>
          <w:rFonts w:ascii="宋体" w:hAnsi="宋体"/>
          <w:color w:val="auto"/>
          <w:szCs w:val="21"/>
          <w:highlight w:val="none"/>
        </w:rPr>
        <w:t>有关指标</w:t>
      </w:r>
      <w:r>
        <w:rPr>
          <w:rFonts w:hint="eastAsia" w:ascii="宋体" w:hAnsi="宋体"/>
          <w:color w:val="auto"/>
          <w:szCs w:val="21"/>
          <w:highlight w:val="none"/>
        </w:rPr>
        <w:t>的要求</w:t>
      </w:r>
      <w:r>
        <w:rPr>
          <w:rFonts w:ascii="宋体" w:hAnsi="宋体"/>
          <w:color w:val="auto"/>
          <w:szCs w:val="21"/>
          <w:highlight w:val="none"/>
        </w:rPr>
        <w:t>（详见文件第</w:t>
      </w:r>
      <w:r>
        <w:rPr>
          <w:rFonts w:hint="eastAsia" w:ascii="宋体" w:hAnsi="宋体"/>
          <w:color w:val="auto"/>
          <w:szCs w:val="21"/>
          <w:highlight w:val="none"/>
        </w:rPr>
        <w:t>二</w:t>
      </w:r>
      <w:r>
        <w:rPr>
          <w:rFonts w:ascii="宋体" w:hAnsi="宋体"/>
          <w:color w:val="auto"/>
          <w:szCs w:val="21"/>
          <w:highlight w:val="none"/>
        </w:rPr>
        <w:t>章招标人需求）</w:t>
      </w:r>
      <w:r>
        <w:rPr>
          <w:rFonts w:hint="eastAsia" w:ascii="宋体" w:hAnsi="宋体"/>
          <w:color w:val="auto"/>
          <w:szCs w:val="21"/>
          <w:highlight w:val="none"/>
        </w:rPr>
        <w:t>。</w:t>
      </w:r>
    </w:p>
    <w:p>
      <w:pPr>
        <w:pStyle w:val="2"/>
        <w:spacing w:line="360" w:lineRule="auto"/>
        <w:ind w:left="0" w:leftChars="0" w:right="210" w:firstLine="420" w:firstLineChars="200"/>
        <w:rPr>
          <w:color w:val="auto"/>
          <w:highlight w:val="none"/>
        </w:rPr>
      </w:pPr>
      <w:r>
        <w:rPr>
          <w:rFonts w:hint="eastAsia" w:ascii="宋体" w:hAnsi="宋体" w:eastAsia="宋体" w:cs="Times New Roman"/>
          <w:color w:val="auto"/>
          <w:szCs w:val="21"/>
          <w:highlight w:val="none"/>
        </w:rPr>
        <w:t>7、本合同服务期限采用1年加1年模式，合同一年一签，根据服务质量经招标人考核认定后方可延续，如不通过招标人考核，则采购人可自行终止合同，中标人对此不得有异议。</w:t>
      </w:r>
    </w:p>
    <w:p>
      <w:pPr>
        <w:pStyle w:val="5"/>
        <w:tabs>
          <w:tab w:val="left" w:pos="6680"/>
        </w:tabs>
        <w:snapToGrid w:val="0"/>
        <w:spacing w:line="360" w:lineRule="auto"/>
        <w:ind w:firstLine="0"/>
        <w:rPr>
          <w:rFonts w:cs="Arial"/>
          <w:color w:val="auto"/>
          <w:sz w:val="21"/>
          <w:szCs w:val="21"/>
          <w:highlight w:val="none"/>
        </w:rPr>
      </w:pPr>
      <w:r>
        <w:rPr>
          <w:rFonts w:hint="eastAsia"/>
          <w:b/>
          <w:color w:val="auto"/>
          <w:sz w:val="21"/>
          <w:szCs w:val="21"/>
          <w:highlight w:val="none"/>
        </w:rPr>
        <w:t>★</w:t>
      </w:r>
      <w:r>
        <w:rPr>
          <w:rFonts w:hint="eastAsia" w:cs="Tahoma"/>
          <w:color w:val="auto"/>
          <w:sz w:val="21"/>
          <w:szCs w:val="21"/>
          <w:highlight w:val="none"/>
        </w:rPr>
        <w:t>二、</w:t>
      </w:r>
      <w:r>
        <w:rPr>
          <w:rFonts w:hint="eastAsia" w:cs="Arial"/>
          <w:color w:val="auto"/>
          <w:sz w:val="21"/>
          <w:szCs w:val="21"/>
          <w:highlight w:val="none"/>
        </w:rPr>
        <w:t>合格投标人资格要求</w:t>
      </w:r>
      <w:r>
        <w:rPr>
          <w:rFonts w:hint="eastAsia" w:cs="Arial"/>
          <w:color w:val="auto"/>
          <w:sz w:val="21"/>
          <w:szCs w:val="21"/>
          <w:highlight w:val="none"/>
        </w:rPr>
        <w:tab/>
      </w:r>
    </w:p>
    <w:p>
      <w:pPr>
        <w:pStyle w:val="5"/>
        <w:snapToGrid w:val="0"/>
        <w:spacing w:line="360" w:lineRule="auto"/>
        <w:ind w:firstLine="0"/>
        <w:rPr>
          <w:rFonts w:cs="Tahoma"/>
          <w:color w:val="auto"/>
          <w:sz w:val="21"/>
          <w:szCs w:val="21"/>
          <w:highlight w:val="none"/>
        </w:rPr>
      </w:pPr>
      <w:r>
        <w:rPr>
          <w:rFonts w:hint="eastAsia"/>
          <w:color w:val="auto"/>
          <w:sz w:val="21"/>
          <w:szCs w:val="21"/>
          <w:highlight w:val="none"/>
        </w:rPr>
        <w:t>参加本项目投标的投标人必须符合下列要求：</w:t>
      </w:r>
    </w:p>
    <w:p>
      <w:pPr>
        <w:numPr>
          <w:ilvl w:val="0"/>
          <w:numId w:val="2"/>
        </w:numPr>
        <w:spacing w:line="360" w:lineRule="auto"/>
        <w:ind w:right="-216" w:rightChars="-103" w:firstLine="420" w:firstLineChars="200"/>
        <w:rPr>
          <w:rFonts w:hint="eastAsia" w:ascii="宋体" w:hAnsi="宋体"/>
          <w:color w:val="auto"/>
          <w:szCs w:val="21"/>
          <w:highlight w:val="none"/>
        </w:rPr>
      </w:pPr>
      <w:r>
        <w:rPr>
          <w:rFonts w:hint="eastAsia" w:ascii="宋体" w:hAnsi="宋体" w:cs="宋体"/>
          <w:color w:val="auto"/>
          <w:szCs w:val="21"/>
          <w:highlight w:val="none"/>
        </w:rPr>
        <w:t>投标人必须是国内合法注册的法人或其他组织，</w:t>
      </w:r>
      <w:r>
        <w:rPr>
          <w:rFonts w:hint="eastAsia" w:ascii="宋体" w:hAnsi="宋体" w:cs="Arial"/>
          <w:color w:val="auto"/>
          <w:szCs w:val="21"/>
          <w:highlight w:val="none"/>
        </w:rPr>
        <w:t>分公司投标的必须由具有法人资格的总公司授权</w:t>
      </w:r>
      <w:r>
        <w:rPr>
          <w:rFonts w:hint="eastAsia" w:ascii="宋体" w:hAnsi="宋体"/>
          <w:color w:val="auto"/>
          <w:szCs w:val="21"/>
          <w:highlight w:val="none"/>
        </w:rPr>
        <w:t>；</w:t>
      </w:r>
    </w:p>
    <w:p>
      <w:pPr>
        <w:numPr>
          <w:ilvl w:val="0"/>
          <w:numId w:val="2"/>
        </w:numPr>
        <w:spacing w:line="360" w:lineRule="auto"/>
        <w:ind w:firstLine="420" w:firstLineChars="200"/>
        <w:rPr>
          <w:rFonts w:hint="eastAsia" w:ascii="宋体" w:hAnsi="宋体" w:cs="Tahoma"/>
          <w:color w:val="auto"/>
          <w:szCs w:val="21"/>
          <w:highlight w:val="none"/>
        </w:rPr>
      </w:pPr>
      <w:r>
        <w:rPr>
          <w:rFonts w:hint="eastAsia" w:ascii="宋体" w:hAnsi="宋体"/>
          <w:bCs/>
          <w:color w:val="auto"/>
          <w:szCs w:val="21"/>
          <w:highlight w:val="none"/>
        </w:rPr>
        <w:t>未列入“信用中国”网站中“记录失信被执行人或重大税收违法案件当事人名单；</w:t>
      </w:r>
      <w:r>
        <w:rPr>
          <w:rFonts w:ascii="宋体" w:hAnsi="宋体"/>
          <w:color w:val="auto"/>
          <w:szCs w:val="21"/>
          <w:highlight w:val="none"/>
        </w:rPr>
        <w:t>以“信用中国”网站（www.creditchina.gov.cn）查询结果为准</w:t>
      </w:r>
      <w:r>
        <w:rPr>
          <w:rFonts w:hint="eastAsia" w:ascii="宋体" w:hAnsi="宋体"/>
          <w:color w:val="auto"/>
          <w:szCs w:val="21"/>
          <w:highlight w:val="none"/>
        </w:rPr>
        <w:t>，</w:t>
      </w:r>
      <w:r>
        <w:rPr>
          <w:rFonts w:hint="eastAsia" w:ascii="宋体" w:hAnsi="宋体"/>
          <w:bCs/>
          <w:color w:val="auto"/>
          <w:szCs w:val="21"/>
          <w:highlight w:val="none"/>
        </w:rPr>
        <w:t>如在上述网站查询结果均显示没有相关记录，视为没有上述不良信用记录。如相关失信记录已失效，供应商须提供相关证明资料。</w:t>
      </w:r>
    </w:p>
    <w:p>
      <w:pPr>
        <w:snapToGrid w:val="0"/>
        <w:spacing w:line="360" w:lineRule="auto"/>
        <w:ind w:left="181" w:leftChars="86" w:firstLine="210" w:firstLineChars="100"/>
        <w:rPr>
          <w:rFonts w:hint="eastAsia" w:ascii="宋体" w:hAnsi="宋体" w:cs="Tahoma"/>
          <w:color w:val="auto"/>
          <w:szCs w:val="21"/>
          <w:highlight w:val="none"/>
        </w:rPr>
      </w:pPr>
      <w:r>
        <w:rPr>
          <w:rFonts w:hint="eastAsia" w:ascii="宋体" w:hAnsi="宋体" w:cs="Tahoma"/>
          <w:color w:val="auto"/>
          <w:szCs w:val="21"/>
          <w:highlight w:val="none"/>
        </w:rPr>
        <w:t>3、本项目不接受联合体投标；（提供承诺函，格式自定）</w:t>
      </w:r>
    </w:p>
    <w:p>
      <w:pPr>
        <w:snapToGrid w:val="0"/>
        <w:spacing w:line="360" w:lineRule="auto"/>
        <w:ind w:firstLine="420" w:firstLineChars="200"/>
        <w:rPr>
          <w:rFonts w:hint="eastAsia" w:ascii="宋体" w:hAnsi="宋体" w:cs="Tahoma"/>
          <w:color w:val="auto"/>
          <w:szCs w:val="21"/>
          <w:highlight w:val="none"/>
        </w:rPr>
      </w:pPr>
      <w:r>
        <w:rPr>
          <w:rFonts w:hint="eastAsia" w:ascii="宋体" w:hAnsi="宋体" w:cs="Tahoma"/>
          <w:color w:val="auto"/>
          <w:szCs w:val="21"/>
          <w:highlight w:val="none"/>
        </w:rPr>
        <w:t>4、单位负责人为同一人或者存在直接控股、管理关系的不同供应商，不得参加同一合同项下的采购活动。（提供承诺函，格式自定）</w:t>
      </w:r>
    </w:p>
    <w:p>
      <w:pPr>
        <w:pStyle w:val="5"/>
        <w:snapToGrid w:val="0"/>
        <w:spacing w:line="360" w:lineRule="auto"/>
        <w:ind w:firstLine="0"/>
        <w:rPr>
          <w:rFonts w:cs="Arial"/>
          <w:color w:val="auto"/>
          <w:sz w:val="21"/>
          <w:szCs w:val="21"/>
          <w:highlight w:val="none"/>
        </w:rPr>
      </w:pPr>
      <w:r>
        <w:rPr>
          <w:rFonts w:hint="eastAsia" w:cs="Arial"/>
          <w:color w:val="auto"/>
          <w:sz w:val="21"/>
          <w:szCs w:val="21"/>
          <w:highlight w:val="none"/>
        </w:rPr>
        <w:t>三、报名及获取招标文件的时间、地点、方式及招标文件售价</w:t>
      </w:r>
    </w:p>
    <w:p>
      <w:pPr>
        <w:spacing w:line="360" w:lineRule="auto"/>
        <w:ind w:left="794" w:leftChars="228" w:hanging="315" w:hangingChars="150"/>
        <w:rPr>
          <w:rFonts w:ascii="宋体" w:hAnsi="宋体" w:cs="Tahoma"/>
          <w:color w:val="auto"/>
          <w:szCs w:val="21"/>
          <w:highlight w:val="none"/>
        </w:rPr>
      </w:pPr>
      <w:r>
        <w:rPr>
          <w:rFonts w:hint="eastAsia" w:ascii="宋体" w:hAnsi="宋体" w:cs="Tahoma"/>
          <w:color w:val="auto"/>
          <w:szCs w:val="21"/>
          <w:highlight w:val="none"/>
        </w:rPr>
        <w:t>1、报名及获取招标文件</w:t>
      </w:r>
      <w:r>
        <w:rPr>
          <w:rFonts w:ascii="宋体" w:hAnsi="宋体" w:cs="Tahoma"/>
          <w:color w:val="auto"/>
          <w:szCs w:val="21"/>
          <w:highlight w:val="none"/>
        </w:rPr>
        <w:t>时间：</w:t>
      </w:r>
      <w:r>
        <w:rPr>
          <w:rFonts w:hint="eastAsia" w:ascii="宋体" w:hAnsi="宋体" w:cs="Tahoma"/>
          <w:color w:val="auto"/>
          <w:szCs w:val="21"/>
          <w:highlight w:val="none"/>
        </w:rPr>
        <w:t>2023年</w:t>
      </w:r>
      <w:r>
        <w:rPr>
          <w:rFonts w:hint="eastAsia" w:ascii="宋体" w:hAnsi="宋体" w:cs="Arial"/>
          <w:color w:val="auto"/>
          <w:szCs w:val="21"/>
          <w:highlight w:val="none"/>
          <w:lang w:eastAsia="zh-CN"/>
        </w:rPr>
        <w:t>1</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月</w:t>
      </w:r>
      <w:r>
        <w:rPr>
          <w:rFonts w:hint="eastAsia" w:ascii="宋体" w:hAnsi="宋体" w:cs="Arial"/>
          <w:color w:val="auto"/>
          <w:szCs w:val="21"/>
          <w:highlight w:val="none"/>
          <w:lang w:eastAsia="zh-CN"/>
        </w:rPr>
        <w:t>3</w:t>
      </w:r>
      <w:r>
        <w:rPr>
          <w:rFonts w:hint="eastAsia" w:ascii="宋体" w:hAnsi="宋体" w:cs="Arial"/>
          <w:color w:val="auto"/>
          <w:szCs w:val="21"/>
          <w:highlight w:val="none"/>
          <w:lang w:val="en-US" w:eastAsia="zh-CN"/>
        </w:rPr>
        <w:t>0</w:t>
      </w:r>
      <w:r>
        <w:rPr>
          <w:rFonts w:hint="eastAsia" w:ascii="宋体" w:hAnsi="宋体" w:cs="Arial"/>
          <w:color w:val="auto"/>
          <w:szCs w:val="21"/>
          <w:highlight w:val="none"/>
        </w:rPr>
        <w:t>日至2023年</w:t>
      </w:r>
      <w:r>
        <w:rPr>
          <w:rFonts w:hint="eastAsia" w:ascii="宋体" w:hAnsi="宋体" w:cs="Arial"/>
          <w:color w:val="auto"/>
          <w:szCs w:val="21"/>
          <w:highlight w:val="none"/>
          <w:lang w:eastAsia="zh-CN"/>
        </w:rPr>
        <w:t>1</w:t>
      </w:r>
      <w:r>
        <w:rPr>
          <w:rFonts w:hint="eastAsia" w:ascii="宋体" w:hAnsi="宋体" w:cs="Arial"/>
          <w:color w:val="auto"/>
          <w:szCs w:val="21"/>
          <w:highlight w:val="none"/>
          <w:lang w:val="en-US" w:eastAsia="zh-CN"/>
        </w:rPr>
        <w:t>2</w:t>
      </w:r>
      <w:r>
        <w:rPr>
          <w:rFonts w:hint="eastAsia" w:ascii="宋体" w:hAnsi="宋体" w:cs="Arial"/>
          <w:color w:val="auto"/>
          <w:szCs w:val="21"/>
          <w:highlight w:val="none"/>
        </w:rPr>
        <w:t>月</w:t>
      </w:r>
      <w:r>
        <w:rPr>
          <w:rFonts w:hint="eastAsia" w:ascii="宋体" w:hAnsi="宋体" w:cs="Arial"/>
          <w:color w:val="auto"/>
          <w:szCs w:val="21"/>
          <w:highlight w:val="none"/>
          <w:lang w:eastAsia="zh-CN"/>
        </w:rPr>
        <w:t>6</w:t>
      </w:r>
      <w:r>
        <w:rPr>
          <w:rFonts w:hint="eastAsia" w:ascii="宋体" w:hAnsi="宋体" w:cs="Arial"/>
          <w:color w:val="auto"/>
          <w:szCs w:val="21"/>
          <w:highlight w:val="none"/>
        </w:rPr>
        <w:t>日</w:t>
      </w:r>
      <w:r>
        <w:rPr>
          <w:rFonts w:hint="eastAsia" w:ascii="宋体" w:hAnsi="宋体" w:cs="Tahoma"/>
          <w:color w:val="auto"/>
          <w:szCs w:val="21"/>
          <w:highlight w:val="none"/>
        </w:rPr>
        <w:t>上午9：00-12：00；下午14：00-17：00（北京时间，节假日除外）</w:t>
      </w:r>
    </w:p>
    <w:p>
      <w:pPr>
        <w:spacing w:line="360" w:lineRule="auto"/>
        <w:ind w:left="794" w:leftChars="228" w:hanging="315" w:hangingChars="150"/>
        <w:rPr>
          <w:rFonts w:ascii="宋体" w:hAnsi="宋体" w:cs="Tahoma"/>
          <w:color w:val="auto"/>
          <w:szCs w:val="21"/>
          <w:highlight w:val="none"/>
        </w:rPr>
      </w:pPr>
      <w:r>
        <w:rPr>
          <w:rFonts w:hint="eastAsia" w:ascii="宋体" w:hAnsi="宋体" w:cs="Tahoma"/>
          <w:color w:val="auto"/>
          <w:szCs w:val="21"/>
          <w:highlight w:val="none"/>
        </w:rPr>
        <w:t>2、报名及获取招标文件地点：华联世纪工程咨询股份有限公司（详细地址：广州市增城区永宁街道誉山国际融景二路6号B1002栋301-308）</w:t>
      </w:r>
    </w:p>
    <w:p>
      <w:pPr>
        <w:spacing w:line="360" w:lineRule="auto"/>
        <w:ind w:left="794" w:leftChars="228" w:hanging="315" w:hangingChars="150"/>
        <w:rPr>
          <w:rFonts w:ascii="宋体" w:hAnsi="宋体"/>
          <w:bCs/>
          <w:color w:val="auto"/>
          <w:szCs w:val="21"/>
          <w:highlight w:val="none"/>
        </w:rPr>
      </w:pPr>
      <w:r>
        <w:rPr>
          <w:rFonts w:hint="eastAsia" w:ascii="宋体" w:hAnsi="宋体" w:cs="Tahoma"/>
          <w:color w:val="auto"/>
          <w:szCs w:val="21"/>
          <w:highlight w:val="none"/>
        </w:rPr>
        <w:t>3、报名费用及</w:t>
      </w:r>
      <w:r>
        <w:rPr>
          <w:rFonts w:ascii="宋体" w:hAnsi="宋体" w:cs="Tahoma"/>
          <w:color w:val="auto"/>
          <w:szCs w:val="21"/>
          <w:highlight w:val="none"/>
        </w:rPr>
        <w:t>招标文件售价：人民币</w:t>
      </w:r>
      <w:r>
        <w:rPr>
          <w:rFonts w:hint="eastAsia" w:ascii="宋体" w:hAnsi="宋体" w:cs="Tahoma"/>
          <w:color w:val="auto"/>
          <w:szCs w:val="21"/>
          <w:highlight w:val="none"/>
        </w:rPr>
        <w:t>300</w:t>
      </w:r>
      <w:r>
        <w:rPr>
          <w:rFonts w:ascii="宋体" w:hAnsi="宋体" w:cs="Tahoma"/>
          <w:color w:val="auto"/>
          <w:szCs w:val="21"/>
          <w:highlight w:val="none"/>
        </w:rPr>
        <w:t>元（</w:t>
      </w:r>
      <w:r>
        <w:rPr>
          <w:rFonts w:hint="eastAsia" w:ascii="宋体" w:hAnsi="宋体" w:cs="Tahoma"/>
          <w:color w:val="auto"/>
          <w:szCs w:val="21"/>
          <w:highlight w:val="none"/>
        </w:rPr>
        <w:t>自带U盘，</w:t>
      </w:r>
      <w:r>
        <w:rPr>
          <w:rFonts w:ascii="宋体" w:hAnsi="宋体" w:cs="Tahoma"/>
          <w:color w:val="auto"/>
          <w:szCs w:val="21"/>
          <w:highlight w:val="none"/>
        </w:rPr>
        <w:t>售后不退）</w:t>
      </w:r>
      <w:r>
        <w:rPr>
          <w:rFonts w:hint="eastAsia" w:ascii="宋体" w:hAnsi="宋体" w:cs="Tahoma"/>
          <w:color w:val="auto"/>
          <w:szCs w:val="21"/>
          <w:highlight w:val="none"/>
        </w:rPr>
        <w:t>。</w:t>
      </w:r>
      <w:r>
        <w:rPr>
          <w:rFonts w:hint="eastAsia" w:ascii="宋体" w:hAnsi="宋体"/>
          <w:bCs/>
          <w:color w:val="auto"/>
          <w:szCs w:val="21"/>
          <w:highlight w:val="none"/>
        </w:rPr>
        <w:t>如需要邮寄另加人民币60元，售后不退。在任何情况下招标代理机构对邮寄过程中发生的迟交或遗失都不承担责任。</w:t>
      </w:r>
    </w:p>
    <w:p>
      <w:pPr>
        <w:spacing w:line="360" w:lineRule="auto"/>
        <w:ind w:left="794" w:leftChars="228" w:hanging="315" w:hangingChars="150"/>
        <w:rPr>
          <w:rFonts w:ascii="宋体" w:hAnsi="宋体"/>
          <w:bCs/>
          <w:color w:val="auto"/>
          <w:szCs w:val="21"/>
          <w:highlight w:val="none"/>
        </w:rPr>
      </w:pPr>
      <w:r>
        <w:rPr>
          <w:rFonts w:hint="eastAsia" w:ascii="宋体" w:hAnsi="宋体"/>
          <w:bCs/>
          <w:color w:val="auto"/>
          <w:szCs w:val="21"/>
          <w:highlight w:val="none"/>
        </w:rPr>
        <w:t>4、购买招标文件时提供报名资料如下：</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方式一、供应商可以携带</w:t>
      </w:r>
      <w:r>
        <w:rPr>
          <w:rFonts w:hint="eastAsia" w:ascii="宋体" w:hAnsi="宋体" w:eastAsia="宋体" w:cs="宋体"/>
          <w:color w:val="auto"/>
          <w:szCs w:val="21"/>
          <w:highlight w:val="none"/>
          <w:lang w:val="en-US" w:eastAsia="zh-CN"/>
        </w:rPr>
        <w:t>以下资料现场登记：</w:t>
      </w:r>
      <w:r>
        <w:rPr>
          <w:rFonts w:hint="eastAsia" w:ascii="宋体" w:hAnsi="宋体" w:eastAsia="宋体" w:cs="宋体"/>
          <w:color w:val="auto"/>
          <w:szCs w:val="21"/>
          <w:highlight w:val="none"/>
        </w:rPr>
        <w:t>（1）报名单位的营业执照（副本）/事业单位法人证书复印件【若营业执照/事业单位法人证书无法显示经营范围的，则提供商事主体信息最新查询结果（显示经营范围）的截屏打印件复印件】；</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（2）法定代表人证明书；</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（3）法定代表人授权委托书原件及投标人授权代表身份证复印件【非法定代表人报名时提供】；</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（4）获取文件登记表（原件，</w:t>
      </w:r>
      <w:r>
        <w:rPr>
          <w:rFonts w:hint="eastAsia" w:ascii="宋体" w:hAnsi="宋体" w:eastAsia="宋体" w:cs="宋体"/>
          <w:color w:val="auto"/>
          <w:szCs w:val="21"/>
          <w:highlight w:val="none"/>
          <w:lang w:val="en-US" w:eastAsia="zh-CN"/>
        </w:rPr>
        <w:t>见附件</w:t>
      </w:r>
      <w:r>
        <w:rPr>
          <w:rFonts w:hint="eastAsia" w:ascii="宋体" w:hAnsi="宋体" w:eastAsia="宋体" w:cs="宋体"/>
          <w:color w:val="auto"/>
          <w:szCs w:val="21"/>
          <w:highlight w:val="none"/>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rPr>
      </w:pPr>
      <w:r>
        <w:rPr>
          <w:rStyle w:val="8"/>
          <w:rFonts w:hint="eastAsia" w:ascii="宋体" w:hAnsi="宋体" w:eastAsia="宋体" w:cs="宋体"/>
          <w:i w:val="0"/>
          <w:iCs w:val="0"/>
          <w:caps w:val="0"/>
          <w:color w:val="333333"/>
          <w:spacing w:val="0"/>
          <w:sz w:val="21"/>
          <w:szCs w:val="21"/>
          <w:u w:val="single"/>
        </w:rPr>
        <w:t>说明：报名单位须保证所提交资料真实、完整、有效、一致，否则自行承担由此导致的与本项目有关的任何损失。招标代理机构将核对报名单位提交的上述资料，且只接受完整提交上述资料报名单位的报名。</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方式二、（1）供应商填写完成的《获取文件登记表》</w:t>
      </w:r>
      <w:r>
        <w:rPr>
          <w:rFonts w:hint="eastAsia" w:ascii="宋体" w:hAnsi="宋体" w:cs="宋体"/>
          <w:color w:val="auto"/>
          <w:szCs w:val="21"/>
          <w:highlight w:val="none"/>
          <w:lang w:val="en-US" w:eastAsia="zh-CN"/>
        </w:rPr>
        <w:t>及上述</w:t>
      </w:r>
      <w:r>
        <w:rPr>
          <w:rFonts w:hint="eastAsia" w:ascii="宋体" w:hAnsi="宋体" w:cs="宋体"/>
          <w:color w:val="auto"/>
          <w:szCs w:val="21"/>
          <w:highlight w:val="none"/>
        </w:rPr>
        <w:t>扫描</w:t>
      </w:r>
      <w:r>
        <w:rPr>
          <w:rFonts w:hint="eastAsia" w:ascii="宋体" w:hAnsi="宋体" w:cs="宋体"/>
          <w:color w:val="auto"/>
          <w:szCs w:val="21"/>
          <w:highlight w:val="none"/>
          <w:lang w:val="en-US" w:eastAsia="zh-CN"/>
        </w:rPr>
        <w:t>件</w:t>
      </w:r>
      <w:r>
        <w:rPr>
          <w:rFonts w:hint="eastAsia" w:ascii="宋体" w:hAnsi="宋体" w:cs="宋体"/>
          <w:color w:val="auto"/>
          <w:szCs w:val="21"/>
          <w:highlight w:val="none"/>
        </w:rPr>
        <w:t>发送至邮箱35563343@qq.com，邮件发出后请与我司工作人员联系（联系方式详见</w:t>
      </w:r>
      <w:r>
        <w:rPr>
          <w:rFonts w:hint="eastAsia" w:ascii="宋体" w:hAnsi="宋体" w:cs="宋体"/>
          <w:color w:val="auto"/>
          <w:szCs w:val="21"/>
          <w:highlight w:val="none"/>
          <w:lang w:eastAsia="zh-CN"/>
        </w:rPr>
        <w:t>招标代理机构</w:t>
      </w:r>
      <w:r>
        <w:rPr>
          <w:rFonts w:hint="eastAsia" w:ascii="宋体" w:hAnsi="宋体" w:cs="宋体"/>
          <w:color w:val="auto"/>
          <w:szCs w:val="21"/>
          <w:highlight w:val="none"/>
        </w:rPr>
        <w:t>信息）；</w:t>
      </w:r>
      <w:r>
        <w:rPr>
          <w:rFonts w:hint="eastAsia" w:ascii="宋体" w:hAnsi="宋体" w:cs="宋体"/>
          <w:color w:val="auto"/>
          <w:szCs w:val="21"/>
          <w:highlight w:val="none"/>
          <w:lang w:eastAsia="zh-CN"/>
        </w:rPr>
        <w:t>（</w:t>
      </w:r>
      <w:r>
        <w:rPr>
          <w:rFonts w:hint="eastAsia" w:ascii="宋体" w:hAnsi="宋体" w:cs="宋体"/>
          <w:color w:val="auto"/>
          <w:szCs w:val="21"/>
          <w:highlight w:val="none"/>
        </w:rPr>
        <w:t>2）经</w:t>
      </w:r>
      <w:r>
        <w:rPr>
          <w:rFonts w:hint="eastAsia" w:ascii="宋体" w:hAnsi="宋体" w:cs="宋体"/>
          <w:color w:val="auto"/>
          <w:szCs w:val="21"/>
          <w:highlight w:val="none"/>
          <w:lang w:eastAsia="zh-CN"/>
        </w:rPr>
        <w:t>招标代理机构</w:t>
      </w:r>
      <w:r>
        <w:rPr>
          <w:rFonts w:hint="eastAsia" w:ascii="宋体" w:hAnsi="宋体" w:cs="宋体"/>
          <w:color w:val="auto"/>
          <w:szCs w:val="21"/>
          <w:highlight w:val="none"/>
        </w:rPr>
        <w:t>工作人员确认后办理相关手续；</w:t>
      </w:r>
      <w:r>
        <w:rPr>
          <w:rFonts w:hint="eastAsia" w:ascii="宋体" w:hAnsi="宋体" w:cs="宋体"/>
          <w:color w:val="auto"/>
          <w:szCs w:val="21"/>
          <w:highlight w:val="none"/>
          <w:lang w:eastAsia="zh-CN"/>
        </w:rPr>
        <w:t>（</w:t>
      </w:r>
      <w:r>
        <w:rPr>
          <w:rFonts w:hint="eastAsia" w:ascii="宋体" w:hAnsi="宋体" w:cs="宋体"/>
          <w:color w:val="auto"/>
          <w:szCs w:val="21"/>
          <w:highlight w:val="none"/>
        </w:rPr>
        <w:t>3）</w:t>
      </w:r>
      <w:r>
        <w:rPr>
          <w:rFonts w:hint="eastAsia" w:ascii="宋体" w:hAnsi="宋体" w:cs="宋体"/>
          <w:color w:val="auto"/>
          <w:szCs w:val="21"/>
          <w:highlight w:val="none"/>
          <w:lang w:eastAsia="zh-CN"/>
        </w:rPr>
        <w:t>招标代理机构</w:t>
      </w:r>
      <w:r>
        <w:rPr>
          <w:rFonts w:hint="eastAsia" w:ascii="宋体" w:hAnsi="宋体" w:cs="宋体"/>
          <w:color w:val="auto"/>
          <w:szCs w:val="21"/>
          <w:highlight w:val="none"/>
        </w:rPr>
        <w:t>将采用收件方付款形式寄出招标文件，在任何情况下</w:t>
      </w:r>
      <w:r>
        <w:rPr>
          <w:rFonts w:hint="eastAsia" w:ascii="宋体" w:hAnsi="宋体" w:cs="宋体"/>
          <w:color w:val="auto"/>
          <w:szCs w:val="21"/>
          <w:highlight w:val="none"/>
          <w:lang w:eastAsia="zh-CN"/>
        </w:rPr>
        <w:t>招标代理机构</w:t>
      </w:r>
      <w:r>
        <w:rPr>
          <w:rFonts w:hint="eastAsia" w:ascii="宋体" w:hAnsi="宋体" w:cs="宋体"/>
          <w:color w:val="auto"/>
          <w:szCs w:val="21"/>
          <w:highlight w:val="none"/>
        </w:rPr>
        <w:t>对邮寄过程中发生的迟交或遗失都不承担责任。</w:t>
      </w:r>
    </w:p>
    <w:p>
      <w:pPr>
        <w:spacing w:line="360" w:lineRule="auto"/>
        <w:rPr>
          <w:rFonts w:ascii="宋体" w:hAnsi="宋体" w:cs="Tahoma"/>
          <w:color w:val="auto"/>
          <w:szCs w:val="21"/>
          <w:highlight w:val="none"/>
        </w:rPr>
      </w:pPr>
      <w:r>
        <w:rPr>
          <w:rFonts w:hint="eastAsia" w:ascii="宋体" w:hAnsi="宋体" w:cs="Tahoma"/>
          <w:color w:val="auto"/>
          <w:szCs w:val="21"/>
          <w:highlight w:val="none"/>
        </w:rPr>
        <w:t>四、投标、开标时间及地点</w:t>
      </w:r>
    </w:p>
    <w:p>
      <w:pPr>
        <w:spacing w:line="360" w:lineRule="auto"/>
        <w:ind w:firstLine="420" w:firstLineChars="200"/>
        <w:rPr>
          <w:rFonts w:ascii="宋体" w:hAnsi="宋体" w:cs="Tahoma"/>
          <w:color w:val="auto"/>
          <w:szCs w:val="21"/>
          <w:highlight w:val="none"/>
        </w:rPr>
      </w:pPr>
      <w:r>
        <w:rPr>
          <w:rFonts w:hint="eastAsia" w:ascii="宋体" w:hAnsi="宋体" w:cs="Tahoma"/>
          <w:color w:val="auto"/>
          <w:szCs w:val="21"/>
          <w:highlight w:val="none"/>
        </w:rPr>
        <w:t>1、递交投标文件时间：2023年</w:t>
      </w:r>
      <w:r>
        <w:rPr>
          <w:rFonts w:hint="eastAsia" w:ascii="宋体" w:hAnsi="宋体" w:cs="Arial"/>
          <w:color w:val="auto"/>
          <w:szCs w:val="21"/>
          <w:highlight w:val="none"/>
          <w:lang w:eastAsia="zh-CN"/>
        </w:rPr>
        <w:t>1</w:t>
      </w:r>
      <w:r>
        <w:rPr>
          <w:rFonts w:hint="eastAsia" w:ascii="宋体" w:hAnsi="宋体" w:cs="Arial"/>
          <w:color w:val="auto"/>
          <w:szCs w:val="21"/>
          <w:highlight w:val="none"/>
          <w:lang w:val="en-US" w:eastAsia="zh-CN"/>
        </w:rPr>
        <w:t>2</w:t>
      </w:r>
      <w:r>
        <w:rPr>
          <w:rFonts w:hint="eastAsia" w:ascii="宋体" w:hAnsi="宋体" w:cs="Arial"/>
          <w:color w:val="auto"/>
          <w:szCs w:val="21"/>
          <w:highlight w:val="none"/>
        </w:rPr>
        <w:t>月</w:t>
      </w:r>
      <w:r>
        <w:rPr>
          <w:rFonts w:hint="eastAsia" w:ascii="宋体" w:hAnsi="宋体" w:cs="Arial"/>
          <w:color w:val="auto"/>
          <w:szCs w:val="21"/>
          <w:highlight w:val="none"/>
          <w:lang w:eastAsia="zh-CN"/>
        </w:rPr>
        <w:t>2</w:t>
      </w:r>
      <w:r>
        <w:rPr>
          <w:rFonts w:hint="eastAsia" w:ascii="宋体" w:hAnsi="宋体" w:cs="Arial"/>
          <w:color w:val="auto"/>
          <w:szCs w:val="21"/>
          <w:highlight w:val="none"/>
          <w:lang w:val="en-US" w:eastAsia="zh-CN"/>
        </w:rPr>
        <w:t>0</w:t>
      </w:r>
      <w:r>
        <w:rPr>
          <w:rFonts w:hint="eastAsia" w:ascii="宋体" w:hAnsi="宋体" w:cs="Arial"/>
          <w:color w:val="auto"/>
          <w:szCs w:val="21"/>
          <w:highlight w:val="none"/>
        </w:rPr>
        <w:t>日</w:t>
      </w:r>
      <w:r>
        <w:rPr>
          <w:rFonts w:hint="eastAsia" w:ascii="宋体" w:hAnsi="宋体"/>
          <w:color w:val="auto"/>
          <w:szCs w:val="21"/>
          <w:highlight w:val="none"/>
        </w:rPr>
        <w:t>14：00～14：30</w:t>
      </w:r>
      <w:r>
        <w:rPr>
          <w:rFonts w:hint="eastAsia" w:ascii="宋体" w:hAnsi="宋体" w:cs="Tahoma"/>
          <w:color w:val="auto"/>
          <w:szCs w:val="21"/>
          <w:highlight w:val="none"/>
        </w:rPr>
        <w:t>（北京时间）</w:t>
      </w:r>
    </w:p>
    <w:p>
      <w:pPr>
        <w:spacing w:line="360" w:lineRule="auto"/>
        <w:ind w:firstLine="420" w:firstLineChars="200"/>
        <w:rPr>
          <w:rFonts w:ascii="宋体" w:hAnsi="宋体" w:cs="Tahoma"/>
          <w:color w:val="auto"/>
          <w:szCs w:val="21"/>
          <w:highlight w:val="none"/>
        </w:rPr>
      </w:pPr>
      <w:r>
        <w:rPr>
          <w:rFonts w:hint="eastAsia" w:ascii="宋体" w:hAnsi="宋体" w:cs="Tahoma"/>
          <w:color w:val="auto"/>
          <w:szCs w:val="21"/>
          <w:highlight w:val="none"/>
        </w:rPr>
        <w:t>2、</w:t>
      </w:r>
      <w:r>
        <w:rPr>
          <w:rFonts w:ascii="宋体" w:hAnsi="宋体" w:cs="Tahoma"/>
          <w:color w:val="auto"/>
          <w:szCs w:val="21"/>
          <w:highlight w:val="none"/>
        </w:rPr>
        <w:t>投标截止</w:t>
      </w:r>
      <w:r>
        <w:rPr>
          <w:rFonts w:hint="eastAsia" w:ascii="宋体" w:hAnsi="宋体" w:cs="Tahoma"/>
          <w:color w:val="auto"/>
          <w:szCs w:val="21"/>
          <w:highlight w:val="none"/>
        </w:rPr>
        <w:t>及开标时间：2023年</w:t>
      </w:r>
      <w:r>
        <w:rPr>
          <w:rFonts w:hint="eastAsia" w:ascii="宋体" w:hAnsi="宋体" w:cs="Arial"/>
          <w:color w:val="auto"/>
          <w:szCs w:val="21"/>
          <w:highlight w:val="none"/>
          <w:lang w:eastAsia="zh-CN"/>
        </w:rPr>
        <w:t>1</w:t>
      </w:r>
      <w:r>
        <w:rPr>
          <w:rFonts w:hint="eastAsia" w:ascii="宋体" w:hAnsi="宋体" w:cs="Arial"/>
          <w:color w:val="auto"/>
          <w:szCs w:val="21"/>
          <w:highlight w:val="none"/>
          <w:lang w:val="en-US" w:eastAsia="zh-CN"/>
        </w:rPr>
        <w:t>2</w:t>
      </w:r>
      <w:r>
        <w:rPr>
          <w:rFonts w:hint="eastAsia" w:ascii="宋体" w:hAnsi="宋体" w:cs="Arial"/>
          <w:color w:val="auto"/>
          <w:szCs w:val="21"/>
          <w:highlight w:val="none"/>
        </w:rPr>
        <w:t>月</w:t>
      </w:r>
      <w:r>
        <w:rPr>
          <w:rFonts w:hint="eastAsia" w:ascii="宋体" w:hAnsi="宋体" w:cs="Arial"/>
          <w:color w:val="auto"/>
          <w:szCs w:val="21"/>
          <w:highlight w:val="none"/>
          <w:lang w:eastAsia="zh-CN"/>
        </w:rPr>
        <w:t>2</w:t>
      </w:r>
      <w:r>
        <w:rPr>
          <w:rFonts w:hint="eastAsia" w:ascii="宋体" w:hAnsi="宋体" w:cs="Arial"/>
          <w:color w:val="auto"/>
          <w:szCs w:val="21"/>
          <w:highlight w:val="none"/>
          <w:lang w:val="en-US" w:eastAsia="zh-CN"/>
        </w:rPr>
        <w:t>0</w:t>
      </w:r>
      <w:r>
        <w:rPr>
          <w:rFonts w:hint="eastAsia" w:ascii="宋体" w:hAnsi="宋体" w:cs="Arial"/>
          <w:color w:val="auto"/>
          <w:szCs w:val="21"/>
          <w:highlight w:val="none"/>
        </w:rPr>
        <w:t>日</w:t>
      </w:r>
      <w:r>
        <w:rPr>
          <w:rFonts w:hint="eastAsia" w:ascii="宋体" w:hAnsi="宋体" w:cs="Tahoma"/>
          <w:color w:val="auto"/>
          <w:szCs w:val="21"/>
          <w:highlight w:val="none"/>
        </w:rPr>
        <w:t>14</w:t>
      </w:r>
      <w:r>
        <w:rPr>
          <w:rFonts w:hint="eastAsia" w:ascii="宋体" w:hAnsi="宋体"/>
          <w:color w:val="auto"/>
          <w:szCs w:val="21"/>
          <w:highlight w:val="none"/>
        </w:rPr>
        <w:t>：30</w:t>
      </w:r>
      <w:r>
        <w:rPr>
          <w:rFonts w:hint="eastAsia" w:ascii="宋体" w:hAnsi="宋体" w:cs="Tahoma"/>
          <w:color w:val="auto"/>
          <w:szCs w:val="21"/>
          <w:highlight w:val="none"/>
        </w:rPr>
        <w:t>（北京时间）</w:t>
      </w:r>
    </w:p>
    <w:p>
      <w:pPr>
        <w:spacing w:line="360" w:lineRule="auto"/>
        <w:ind w:firstLine="420" w:firstLineChars="200"/>
        <w:rPr>
          <w:rFonts w:ascii="宋体" w:hAnsi="宋体"/>
          <w:color w:val="auto"/>
          <w:szCs w:val="21"/>
          <w:highlight w:val="none"/>
        </w:rPr>
      </w:pPr>
      <w:r>
        <w:rPr>
          <w:rFonts w:hint="eastAsia" w:ascii="宋体" w:hAnsi="宋体" w:cs="Tahoma"/>
          <w:color w:val="auto"/>
          <w:szCs w:val="21"/>
          <w:highlight w:val="none"/>
        </w:rPr>
        <w:t>3、</w:t>
      </w:r>
      <w:r>
        <w:rPr>
          <w:rFonts w:ascii="宋体" w:hAnsi="宋体"/>
          <w:color w:val="auto"/>
          <w:szCs w:val="21"/>
          <w:highlight w:val="none"/>
        </w:rPr>
        <w:t>开标地点：</w:t>
      </w:r>
      <w:r>
        <w:rPr>
          <w:rFonts w:hint="eastAsia"/>
          <w:color w:val="auto"/>
          <w:szCs w:val="21"/>
          <w:highlight w:val="none"/>
        </w:rPr>
        <w:t>广州市增城区永宁街道誉山国际融景二路6号B1002栋301-308</w:t>
      </w:r>
    </w:p>
    <w:p>
      <w:pPr>
        <w:spacing w:line="360" w:lineRule="auto"/>
        <w:ind w:firstLine="420" w:firstLineChars="200"/>
        <w:rPr>
          <w:rFonts w:ascii="宋体" w:hAnsi="宋体" w:cs="Tahoma"/>
          <w:color w:val="auto"/>
          <w:szCs w:val="21"/>
          <w:highlight w:val="none"/>
        </w:rPr>
      </w:pPr>
      <w:r>
        <w:rPr>
          <w:rFonts w:ascii="宋体" w:hAnsi="宋体" w:cs="Tahoma"/>
          <w:color w:val="auto"/>
          <w:szCs w:val="21"/>
          <w:highlight w:val="none"/>
        </w:rPr>
        <w:t>若已购买</w:t>
      </w:r>
      <w:r>
        <w:rPr>
          <w:rFonts w:hint="eastAsia" w:ascii="宋体" w:hAnsi="宋体" w:cs="Tahoma"/>
          <w:color w:val="auto"/>
          <w:szCs w:val="21"/>
          <w:highlight w:val="none"/>
        </w:rPr>
        <w:t>招标文件</w:t>
      </w:r>
      <w:r>
        <w:rPr>
          <w:rFonts w:ascii="宋体" w:hAnsi="宋体" w:cs="Tahoma"/>
          <w:color w:val="auto"/>
          <w:szCs w:val="21"/>
          <w:highlight w:val="none"/>
        </w:rPr>
        <w:t>而决定不参加本项目报价的</w:t>
      </w:r>
      <w:r>
        <w:rPr>
          <w:rFonts w:hint="eastAsia" w:ascii="宋体" w:hAnsi="宋体"/>
          <w:color w:val="auto"/>
          <w:szCs w:val="21"/>
          <w:highlight w:val="none"/>
        </w:rPr>
        <w:t>投标人</w:t>
      </w:r>
      <w:r>
        <w:rPr>
          <w:rFonts w:ascii="宋体" w:hAnsi="宋体" w:cs="Tahoma"/>
          <w:color w:val="auto"/>
          <w:szCs w:val="21"/>
          <w:highlight w:val="none"/>
        </w:rPr>
        <w:t>，应在开标前</w:t>
      </w:r>
      <w:r>
        <w:rPr>
          <w:rFonts w:hint="eastAsia" w:ascii="宋体" w:hAnsi="宋体" w:cs="Tahoma"/>
          <w:color w:val="auto"/>
          <w:szCs w:val="21"/>
          <w:highlight w:val="none"/>
        </w:rPr>
        <w:t>4</w:t>
      </w:r>
      <w:r>
        <w:rPr>
          <w:rFonts w:ascii="宋体" w:hAnsi="宋体" w:cs="Tahoma"/>
          <w:color w:val="auto"/>
          <w:szCs w:val="21"/>
          <w:highlight w:val="none"/>
        </w:rPr>
        <w:t>日以书面形式（书面材料、信函</w:t>
      </w:r>
      <w:r>
        <w:rPr>
          <w:rFonts w:hint="eastAsia" w:ascii="宋体" w:hAnsi="宋体" w:cs="Tahoma"/>
          <w:color w:val="auto"/>
          <w:szCs w:val="21"/>
          <w:highlight w:val="none"/>
        </w:rPr>
        <w:t>或</w:t>
      </w:r>
      <w:r>
        <w:rPr>
          <w:rFonts w:ascii="宋体" w:hAnsi="宋体" w:cs="Tahoma"/>
          <w:color w:val="auto"/>
          <w:szCs w:val="21"/>
          <w:highlight w:val="none"/>
        </w:rPr>
        <w:t>传真加盖</w:t>
      </w:r>
      <w:r>
        <w:rPr>
          <w:rFonts w:hint="eastAsia" w:ascii="宋体" w:hAnsi="宋体"/>
          <w:color w:val="auto"/>
          <w:szCs w:val="21"/>
          <w:highlight w:val="none"/>
        </w:rPr>
        <w:t>投标人</w:t>
      </w:r>
      <w:r>
        <w:rPr>
          <w:rFonts w:ascii="宋体" w:hAnsi="宋体" w:cs="Tahoma"/>
          <w:color w:val="auto"/>
          <w:szCs w:val="21"/>
          <w:highlight w:val="none"/>
        </w:rPr>
        <w:t>公章）通知招标代理机构。</w:t>
      </w:r>
    </w:p>
    <w:p>
      <w:pPr>
        <w:spacing w:line="360" w:lineRule="auto"/>
        <w:ind w:firstLine="420" w:firstLineChars="200"/>
        <w:rPr>
          <w:color w:val="auto"/>
          <w:highlight w:val="none"/>
        </w:rPr>
      </w:pPr>
      <w:r>
        <w:rPr>
          <w:rFonts w:hint="eastAsia" w:ascii="宋体" w:hAnsi="宋体" w:cs="宋体"/>
          <w:color w:val="auto"/>
          <w:szCs w:val="21"/>
          <w:highlight w:val="none"/>
        </w:rPr>
        <w:t>注：《获取文件登记表》版本从相关媒体发布本项目公告的“相关附件”处下载。</w:t>
      </w:r>
    </w:p>
    <w:p>
      <w:pPr>
        <w:spacing w:line="360" w:lineRule="auto"/>
        <w:rPr>
          <w:rFonts w:ascii="宋体" w:hAnsi="宋体"/>
          <w:color w:val="auto"/>
          <w:szCs w:val="21"/>
          <w:highlight w:val="none"/>
        </w:rPr>
      </w:pPr>
      <w:r>
        <w:rPr>
          <w:rFonts w:hint="eastAsia" w:ascii="宋体" w:hAnsi="宋体"/>
          <w:color w:val="auto"/>
          <w:szCs w:val="21"/>
          <w:highlight w:val="none"/>
        </w:rPr>
        <w:t>五、本项目的所有相关公告会在</w:t>
      </w:r>
      <w:r>
        <w:rPr>
          <w:rFonts w:hint="eastAsia" w:ascii="宋体" w:hAnsi="宋体" w:cs="宋体"/>
          <w:color w:val="auto"/>
          <w:szCs w:val="21"/>
          <w:highlight w:val="none"/>
        </w:rPr>
        <w:t>中国采购与招标网</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"http://www.chinabidding.com.cn/"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(chinabidding.com.cn)</w:t>
      </w:r>
      <w:r>
        <w:rPr>
          <w:rFonts w:hint="eastAsia" w:ascii="宋体" w:hAnsi="宋体" w:cs="宋体"/>
          <w:color w:val="auto"/>
          <w:szCs w:val="21"/>
          <w:highlight w:val="none"/>
        </w:rPr>
        <w:fldChar w:fldCharType="end"/>
      </w:r>
      <w:r>
        <w:rPr>
          <w:rFonts w:hint="eastAsia" w:ascii="宋体" w:hAnsi="宋体" w:cs="宋体"/>
          <w:color w:val="auto"/>
          <w:szCs w:val="21"/>
          <w:highlight w:val="none"/>
        </w:rPr>
        <w:t>、中国招标投标公共服务平台（www.cebpubservice.com）</w:t>
      </w:r>
      <w:r>
        <w:rPr>
          <w:rFonts w:hint="eastAsia" w:ascii="宋体" w:hAnsi="宋体"/>
          <w:color w:val="auto"/>
          <w:szCs w:val="21"/>
          <w:highlight w:val="none"/>
        </w:rPr>
        <w:t>上公布，公布之日即视为有效送达之日，不再另行通知。</w:t>
      </w:r>
    </w:p>
    <w:p>
      <w:pPr>
        <w:spacing w:line="360" w:lineRule="auto"/>
        <w:rPr>
          <w:rFonts w:ascii="宋体" w:hAnsi="宋体"/>
          <w:color w:val="auto"/>
          <w:sz w:val="24"/>
          <w:highlight w:val="none"/>
        </w:rPr>
      </w:pPr>
      <w:r>
        <w:rPr>
          <w:rFonts w:hint="eastAsia" w:ascii="宋体" w:hAnsi="宋体"/>
          <w:color w:val="auto"/>
          <w:szCs w:val="21"/>
          <w:highlight w:val="none"/>
        </w:rPr>
        <w:t>六、招标人、招标代理机构的名称、地址和联系方式</w:t>
      </w:r>
      <w:r>
        <w:rPr>
          <w:rFonts w:hint="eastAsia" w:ascii="宋体" w:hAnsi="宋体"/>
          <w:color w:val="auto"/>
          <w:sz w:val="24"/>
          <w:highlight w:val="none"/>
        </w:rPr>
        <w:t>。</w:t>
      </w:r>
    </w:p>
    <w:p>
      <w:pPr>
        <w:spacing w:line="360" w:lineRule="auto"/>
        <w:ind w:left="359" w:leftChars="171"/>
        <w:rPr>
          <w:rFonts w:hint="eastAsia"/>
          <w:color w:val="auto"/>
          <w:szCs w:val="21"/>
          <w:highlight w:val="none"/>
        </w:rPr>
      </w:pPr>
      <w:r>
        <w:rPr>
          <w:rFonts w:hint="eastAsia" w:ascii="宋体" w:hAnsi="宋体"/>
          <w:color w:val="auto"/>
          <w:szCs w:val="21"/>
          <w:highlight w:val="none"/>
        </w:rPr>
        <w:t>招标人名称：广州恒运城市服务有限公司</w:t>
      </w:r>
    </w:p>
    <w:p>
      <w:pPr>
        <w:spacing w:line="360" w:lineRule="auto"/>
        <w:ind w:left="359" w:leftChars="171"/>
        <w:rPr>
          <w:rFonts w:hint="eastAsia"/>
          <w:color w:val="auto"/>
          <w:szCs w:val="21"/>
          <w:highlight w:val="none"/>
        </w:rPr>
      </w:pPr>
      <w:r>
        <w:rPr>
          <w:rFonts w:hint="eastAsia"/>
          <w:color w:val="auto"/>
          <w:szCs w:val="21"/>
          <w:highlight w:val="none"/>
        </w:rPr>
        <w:t>招标代理</w:t>
      </w:r>
      <w:r>
        <w:rPr>
          <w:color w:val="auto"/>
          <w:szCs w:val="21"/>
          <w:highlight w:val="none"/>
        </w:rPr>
        <w:t>机构</w:t>
      </w:r>
      <w:r>
        <w:rPr>
          <w:rFonts w:hint="eastAsia"/>
          <w:color w:val="auto"/>
          <w:szCs w:val="21"/>
          <w:highlight w:val="none"/>
        </w:rPr>
        <w:t>名称</w:t>
      </w:r>
      <w:r>
        <w:rPr>
          <w:color w:val="auto"/>
          <w:szCs w:val="21"/>
          <w:highlight w:val="none"/>
        </w:rPr>
        <w:t>：</w:t>
      </w:r>
      <w:r>
        <w:rPr>
          <w:rFonts w:hint="eastAsia"/>
          <w:color w:val="auto"/>
          <w:szCs w:val="21"/>
          <w:highlight w:val="none"/>
        </w:rPr>
        <w:t>华联世纪工程咨询股份有限公司</w:t>
      </w:r>
    </w:p>
    <w:p>
      <w:pPr>
        <w:spacing w:line="360" w:lineRule="auto"/>
        <w:ind w:left="359" w:leftChars="171"/>
        <w:rPr>
          <w:color w:val="auto"/>
          <w:szCs w:val="21"/>
          <w:highlight w:val="none"/>
        </w:rPr>
      </w:pPr>
      <w:r>
        <w:rPr>
          <w:rFonts w:hint="eastAsia"/>
          <w:color w:val="auto"/>
          <w:szCs w:val="21"/>
          <w:highlight w:val="none"/>
        </w:rPr>
        <w:t>招标代理</w:t>
      </w:r>
      <w:r>
        <w:rPr>
          <w:color w:val="auto"/>
          <w:szCs w:val="21"/>
          <w:highlight w:val="none"/>
        </w:rPr>
        <w:t>机构</w:t>
      </w:r>
      <w:r>
        <w:rPr>
          <w:rFonts w:hint="eastAsia"/>
          <w:color w:val="auto"/>
          <w:szCs w:val="21"/>
          <w:highlight w:val="none"/>
        </w:rPr>
        <w:t>地址</w:t>
      </w:r>
      <w:r>
        <w:rPr>
          <w:color w:val="auto"/>
          <w:szCs w:val="21"/>
          <w:highlight w:val="none"/>
        </w:rPr>
        <w:t>：</w:t>
      </w:r>
      <w:r>
        <w:rPr>
          <w:rFonts w:hint="eastAsia"/>
          <w:color w:val="auto"/>
          <w:szCs w:val="21"/>
          <w:highlight w:val="none"/>
        </w:rPr>
        <w:t>广州市增城区永宁街道誉山国际融景二路6号B1002栋301-308</w:t>
      </w:r>
    </w:p>
    <w:p>
      <w:pPr>
        <w:pStyle w:val="5"/>
        <w:keepNext w:val="0"/>
        <w:keepLines w:val="0"/>
        <w:pageBreakBefore w:val="0"/>
        <w:widowControl w:val="0"/>
        <w:kinsoku/>
        <w:wordWrap/>
        <w:overflowPunct/>
        <w:topLinePunct w:val="0"/>
        <w:autoSpaceDE/>
        <w:autoSpaceDN/>
        <w:bidi w:val="0"/>
        <w:adjustRightInd/>
        <w:snapToGrid/>
        <w:spacing w:line="360" w:lineRule="auto"/>
        <w:ind w:left="359" w:leftChars="171" w:firstLine="0"/>
        <w:textAlignment w:val="auto"/>
        <w:rPr>
          <w:rFonts w:hint="eastAsia" w:cs="Tahoma"/>
          <w:color w:val="auto"/>
          <w:sz w:val="21"/>
          <w:szCs w:val="21"/>
          <w:highlight w:val="none"/>
        </w:rPr>
      </w:pPr>
      <w:r>
        <w:rPr>
          <w:rFonts w:hint="eastAsia" w:cs="Tahoma"/>
          <w:color w:val="auto"/>
          <w:sz w:val="21"/>
          <w:szCs w:val="21"/>
          <w:highlight w:val="none"/>
        </w:rPr>
        <w:t>招标代理</w:t>
      </w:r>
      <w:r>
        <w:rPr>
          <w:rFonts w:cs="Tahoma"/>
          <w:color w:val="auto"/>
          <w:sz w:val="21"/>
          <w:szCs w:val="21"/>
          <w:highlight w:val="none"/>
        </w:rPr>
        <w:t>机构联系人：</w:t>
      </w:r>
      <w:r>
        <w:rPr>
          <w:rFonts w:hint="eastAsia" w:cs="Tahoma"/>
          <w:color w:val="auto"/>
          <w:sz w:val="21"/>
          <w:szCs w:val="21"/>
          <w:highlight w:val="none"/>
          <w:lang w:val="en-US" w:eastAsia="zh-CN"/>
        </w:rPr>
        <w:t>翁工/</w:t>
      </w:r>
      <w:r>
        <w:rPr>
          <w:rFonts w:hint="eastAsia" w:cs="Tahoma"/>
          <w:color w:val="auto"/>
          <w:sz w:val="21"/>
          <w:szCs w:val="21"/>
          <w:highlight w:val="none"/>
        </w:rPr>
        <w:t>方工</w:t>
      </w:r>
    </w:p>
    <w:p>
      <w:pPr>
        <w:pStyle w:val="5"/>
        <w:keepNext w:val="0"/>
        <w:keepLines w:val="0"/>
        <w:pageBreakBefore w:val="0"/>
        <w:widowControl w:val="0"/>
        <w:kinsoku/>
        <w:wordWrap/>
        <w:overflowPunct/>
        <w:topLinePunct w:val="0"/>
        <w:autoSpaceDE/>
        <w:autoSpaceDN/>
        <w:bidi w:val="0"/>
        <w:adjustRightInd/>
        <w:snapToGrid/>
        <w:spacing w:line="360" w:lineRule="auto"/>
        <w:ind w:left="359" w:leftChars="171" w:firstLine="0"/>
        <w:textAlignment w:val="auto"/>
        <w:rPr>
          <w:rFonts w:cs="Tahoma"/>
          <w:color w:val="auto"/>
          <w:sz w:val="21"/>
          <w:szCs w:val="21"/>
          <w:highlight w:val="none"/>
        </w:rPr>
      </w:pPr>
      <w:r>
        <w:rPr>
          <w:rFonts w:hint="eastAsia" w:cs="Tahoma"/>
          <w:color w:val="auto"/>
          <w:sz w:val="21"/>
          <w:szCs w:val="21"/>
          <w:highlight w:val="none"/>
        </w:rPr>
        <w:t>招标代理</w:t>
      </w:r>
      <w:r>
        <w:rPr>
          <w:rFonts w:cs="Tahoma"/>
          <w:color w:val="auto"/>
          <w:sz w:val="21"/>
          <w:szCs w:val="21"/>
          <w:highlight w:val="none"/>
        </w:rPr>
        <w:t>机构</w:t>
      </w:r>
      <w:r>
        <w:rPr>
          <w:rFonts w:hint="eastAsia" w:cs="Tahoma"/>
          <w:color w:val="auto"/>
          <w:sz w:val="21"/>
          <w:szCs w:val="21"/>
          <w:highlight w:val="none"/>
        </w:rPr>
        <w:t>联系</w:t>
      </w:r>
      <w:r>
        <w:rPr>
          <w:rFonts w:cs="Tahoma"/>
          <w:color w:val="auto"/>
          <w:sz w:val="21"/>
          <w:szCs w:val="21"/>
          <w:highlight w:val="none"/>
        </w:rPr>
        <w:t>电话：</w:t>
      </w:r>
      <w:r>
        <w:rPr>
          <w:rFonts w:hint="eastAsia" w:cs="Tahoma"/>
          <w:color w:val="auto"/>
          <w:sz w:val="21"/>
          <w:szCs w:val="21"/>
          <w:highlight w:val="none"/>
          <w:lang w:val="en-US" w:eastAsia="zh-CN"/>
        </w:rPr>
        <w:t>020-82452946/</w:t>
      </w:r>
      <w:r>
        <w:rPr>
          <w:rFonts w:hint="eastAsia" w:cs="Tahoma"/>
          <w:color w:val="auto"/>
          <w:sz w:val="21"/>
          <w:szCs w:val="21"/>
          <w:highlight w:val="none"/>
        </w:rPr>
        <w:t>18520102787</w:t>
      </w:r>
    </w:p>
    <w:p>
      <w:pPr>
        <w:numPr>
          <w:ilvl w:val="0"/>
          <w:numId w:val="3"/>
        </w:numPr>
        <w:spacing w:line="360" w:lineRule="auto"/>
        <w:ind w:left="359" w:leftChars="171"/>
        <w:rPr>
          <w:rFonts w:hint="eastAsia"/>
          <w:color w:val="auto"/>
          <w:szCs w:val="21"/>
          <w:highlight w:val="none"/>
        </w:rPr>
      </w:pPr>
      <w:r>
        <w:rPr>
          <w:color w:val="auto"/>
          <w:szCs w:val="21"/>
          <w:highlight w:val="none"/>
        </w:rPr>
        <w:t>mail</w:t>
      </w:r>
      <w:r>
        <w:rPr>
          <w:rFonts w:hint="eastAsia"/>
          <w:color w:val="auto"/>
          <w:szCs w:val="21"/>
          <w:highlight w:val="none"/>
        </w:rPr>
        <w:t xml:space="preserve">：35563343@qq.com    </w:t>
      </w:r>
    </w:p>
    <w:p>
      <w:pPr>
        <w:pStyle w:val="2"/>
        <w:numPr>
          <w:numId w:val="0"/>
        </w:numPr>
        <w:ind w:right="210" w:rightChars="100"/>
      </w:pPr>
    </w:p>
    <w:p>
      <w:pPr>
        <w:pStyle w:val="2"/>
        <w:numPr>
          <w:numId w:val="0"/>
        </w:numPr>
        <w:ind w:right="210" w:rightChars="100"/>
      </w:pPr>
    </w:p>
    <w:p>
      <w:pPr>
        <w:pStyle w:val="2"/>
        <w:numPr>
          <w:numId w:val="0"/>
        </w:numPr>
        <w:ind w:right="210" w:rightChars="100"/>
      </w:pPr>
    </w:p>
    <w:p>
      <w:pPr>
        <w:spacing w:line="360" w:lineRule="auto"/>
        <w:ind w:right="2"/>
        <w:jc w:val="right"/>
        <w:rPr>
          <w:rFonts w:hint="eastAsia" w:ascii="宋体" w:hAnsi="宋体"/>
          <w:color w:val="auto"/>
          <w:szCs w:val="21"/>
          <w:highlight w:val="none"/>
        </w:rPr>
      </w:pPr>
      <w:r>
        <w:rPr>
          <w:rFonts w:hint="eastAsia" w:ascii="宋体" w:hAnsi="宋体"/>
          <w:color w:val="auto"/>
          <w:szCs w:val="21"/>
          <w:highlight w:val="none"/>
        </w:rPr>
        <w:t>招标人：广州恒运城市服务有限公司</w:t>
      </w:r>
    </w:p>
    <w:p>
      <w:pPr>
        <w:spacing w:line="360" w:lineRule="auto"/>
        <w:ind w:right="2"/>
        <w:jc w:val="right"/>
        <w:rPr>
          <w:rFonts w:hint="eastAsia" w:ascii="宋体" w:hAnsi="宋体" w:cs="Tahoma"/>
          <w:color w:val="auto"/>
          <w:szCs w:val="21"/>
          <w:highlight w:val="none"/>
        </w:rPr>
      </w:pPr>
      <w:r>
        <w:rPr>
          <w:rFonts w:hint="eastAsia"/>
          <w:color w:val="auto"/>
          <w:szCs w:val="21"/>
          <w:highlight w:val="none"/>
        </w:rPr>
        <w:t>招标代理</w:t>
      </w:r>
      <w:r>
        <w:rPr>
          <w:rFonts w:hint="eastAsia"/>
          <w:color w:val="auto"/>
          <w:szCs w:val="21"/>
          <w:highlight w:val="none"/>
          <w:lang w:eastAsia="zh-CN"/>
        </w:rPr>
        <w:t>：</w:t>
      </w:r>
      <w:r>
        <w:rPr>
          <w:rFonts w:hint="eastAsia" w:ascii="宋体" w:hAnsi="宋体" w:cs="Tahoma"/>
          <w:color w:val="auto"/>
          <w:szCs w:val="21"/>
          <w:highlight w:val="none"/>
        </w:rPr>
        <w:t>华联世纪工程咨询股份有限公司</w:t>
      </w:r>
    </w:p>
    <w:p>
      <w:pPr>
        <w:pStyle w:val="4"/>
        <w:spacing w:before="0" w:after="0" w:line="360" w:lineRule="auto"/>
        <w:jc w:val="center"/>
        <w:rPr>
          <w:rFonts w:hint="eastAsia" w:ascii="宋体" w:hAnsi="宋体" w:eastAsia="宋体" w:cs="Tahoma"/>
          <w:b w:val="0"/>
          <w:bCs w:val="0"/>
          <w:color w:val="auto"/>
          <w:sz w:val="21"/>
          <w:szCs w:val="21"/>
          <w:highlight w:val="none"/>
        </w:rPr>
      </w:pPr>
      <w:r>
        <w:rPr>
          <w:rFonts w:hint="eastAsia" w:ascii="宋体" w:hAnsi="宋体" w:eastAsia="宋体" w:cs="Tahoma"/>
          <w:b w:val="0"/>
          <w:bCs w:val="0"/>
          <w:color w:val="auto"/>
          <w:sz w:val="21"/>
          <w:szCs w:val="21"/>
          <w:highlight w:val="none"/>
        </w:rPr>
        <w:t xml:space="preserve">                                                             </w:t>
      </w:r>
      <w:r>
        <w:rPr>
          <w:rFonts w:hint="eastAsia" w:ascii="宋体" w:hAnsi="宋体" w:eastAsia="宋体" w:cs="Tahoma"/>
          <w:b w:val="0"/>
          <w:bCs w:val="0"/>
          <w:color w:val="auto"/>
          <w:sz w:val="21"/>
          <w:szCs w:val="21"/>
          <w:highlight w:val="none"/>
          <w:lang w:val="en-US" w:eastAsia="zh-CN"/>
        </w:rPr>
        <w:t>2023</w:t>
      </w:r>
      <w:r>
        <w:rPr>
          <w:rFonts w:hint="eastAsia" w:ascii="宋体" w:hAnsi="宋体" w:eastAsia="宋体" w:cs="Tahoma"/>
          <w:b w:val="0"/>
          <w:bCs w:val="0"/>
          <w:color w:val="auto"/>
          <w:sz w:val="21"/>
          <w:szCs w:val="21"/>
          <w:highlight w:val="none"/>
        </w:rPr>
        <w:t>年</w:t>
      </w:r>
      <w:r>
        <w:rPr>
          <w:rFonts w:hint="eastAsia" w:ascii="宋体" w:hAnsi="宋体" w:eastAsia="宋体" w:cs="Tahoma"/>
          <w:b w:val="0"/>
          <w:bCs w:val="0"/>
          <w:color w:val="auto"/>
          <w:sz w:val="21"/>
          <w:szCs w:val="21"/>
          <w:highlight w:val="none"/>
          <w:lang w:eastAsia="zh-CN"/>
        </w:rPr>
        <w:t>1</w:t>
      </w:r>
      <w:r>
        <w:rPr>
          <w:rFonts w:hint="eastAsia" w:ascii="宋体" w:hAnsi="宋体" w:eastAsia="宋体" w:cs="Tahoma"/>
          <w:b w:val="0"/>
          <w:bCs w:val="0"/>
          <w:color w:val="auto"/>
          <w:sz w:val="21"/>
          <w:szCs w:val="21"/>
          <w:highlight w:val="none"/>
          <w:lang w:val="en-US" w:eastAsia="zh-CN"/>
        </w:rPr>
        <w:t>1</w:t>
      </w:r>
      <w:r>
        <w:rPr>
          <w:rFonts w:hint="eastAsia" w:ascii="宋体" w:hAnsi="宋体" w:eastAsia="宋体" w:cs="Tahoma"/>
          <w:b w:val="0"/>
          <w:bCs w:val="0"/>
          <w:color w:val="auto"/>
          <w:sz w:val="21"/>
          <w:szCs w:val="21"/>
          <w:highlight w:val="none"/>
        </w:rPr>
        <w:t>月</w:t>
      </w:r>
      <w:r>
        <w:rPr>
          <w:rFonts w:hint="eastAsia" w:ascii="宋体" w:hAnsi="宋体" w:eastAsia="宋体" w:cs="Tahoma"/>
          <w:b w:val="0"/>
          <w:bCs w:val="0"/>
          <w:color w:val="auto"/>
          <w:sz w:val="21"/>
          <w:szCs w:val="21"/>
          <w:highlight w:val="none"/>
          <w:lang w:eastAsia="zh-CN"/>
        </w:rPr>
        <w:t>2</w:t>
      </w:r>
      <w:r>
        <w:rPr>
          <w:rFonts w:hint="eastAsia" w:ascii="宋体" w:hAnsi="宋体" w:eastAsia="宋体" w:cs="Tahoma"/>
          <w:b w:val="0"/>
          <w:bCs w:val="0"/>
          <w:color w:val="auto"/>
          <w:sz w:val="21"/>
          <w:szCs w:val="21"/>
          <w:highlight w:val="none"/>
          <w:lang w:val="en-US" w:eastAsia="zh-CN"/>
        </w:rPr>
        <w:t>9</w:t>
      </w:r>
      <w:r>
        <w:rPr>
          <w:rFonts w:hint="eastAsia" w:ascii="宋体" w:hAnsi="宋体" w:eastAsia="宋体" w:cs="Tahoma"/>
          <w:b w:val="0"/>
          <w:bCs w:val="0"/>
          <w:color w:val="auto"/>
          <w:sz w:val="21"/>
          <w:szCs w:val="21"/>
          <w:highlight w:val="none"/>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21B1EB"/>
    <w:multiLevelType w:val="singleLevel"/>
    <w:tmpl w:val="D021B1EB"/>
    <w:lvl w:ilvl="0" w:tentative="0">
      <w:start w:val="6"/>
      <w:numFmt w:val="decimal"/>
      <w:suff w:val="nothing"/>
      <w:lvlText w:val="%1、"/>
      <w:lvlJc w:val="left"/>
    </w:lvl>
  </w:abstractNum>
  <w:abstractNum w:abstractNumId="1">
    <w:nsid w:val="29B7F0FD"/>
    <w:multiLevelType w:val="singleLevel"/>
    <w:tmpl w:val="29B7F0FD"/>
    <w:lvl w:ilvl="0" w:tentative="0">
      <w:start w:val="5"/>
      <w:numFmt w:val="upperLetter"/>
      <w:suff w:val="nothing"/>
      <w:lvlText w:val="%1-"/>
      <w:lvlJc w:val="left"/>
    </w:lvl>
  </w:abstractNum>
  <w:abstractNum w:abstractNumId="2">
    <w:nsid w:val="66671D21"/>
    <w:multiLevelType w:val="singleLevel"/>
    <w:tmpl w:val="66671D21"/>
    <w:lvl w:ilvl="0" w:tentative="0">
      <w:start w:val="1"/>
      <w:numFmt w:val="decimal"/>
      <w:suff w:val="nothing"/>
      <w:lvlText w:val="%1、"/>
      <w:lvlJc w:val="left"/>
    </w:lvl>
  </w:abstractNum>
  <w:num w:numId="1">
    <w:abstractNumId w:val="0"/>
  </w:num>
  <w:num w:numId="2">
    <w:abstractNumId w:val="2"/>
  </w:num>
  <w:num w:numId="3">
    <w:abstractNumId w:val="1"/>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